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C6A" w:rsidRPr="009B2C6A" w:rsidRDefault="009B2C6A" w:rsidP="009B2C6A">
      <w:pPr>
        <w:pStyle w:val="Paragraphedeliste"/>
        <w:tabs>
          <w:tab w:val="right" w:pos="992"/>
        </w:tabs>
        <w:bidi/>
        <w:spacing w:before="120" w:after="120" w:line="240" w:lineRule="auto"/>
        <w:ind w:left="641"/>
        <w:contextualSpacing w:val="0"/>
        <w:jc w:val="center"/>
        <w:rPr>
          <w:rFonts w:cs="Calibri"/>
          <w:b/>
          <w:bCs/>
          <w:sz w:val="32"/>
          <w:szCs w:val="32"/>
          <w:u w:val="single"/>
          <w:rtl/>
        </w:rPr>
      </w:pPr>
      <w:bookmarkStart w:id="0" w:name="_Toc116331178"/>
      <w:r w:rsidRPr="009B2C6A">
        <w:rPr>
          <w:rFonts w:cs="Calibri" w:hint="cs"/>
          <w:b/>
          <w:bCs/>
          <w:sz w:val="32"/>
          <w:szCs w:val="32"/>
          <w:u w:val="single"/>
          <w:rtl/>
        </w:rPr>
        <w:t xml:space="preserve">معطيات الجماعة من الناحية </w:t>
      </w:r>
      <w:proofErr w:type="spellStart"/>
      <w:r w:rsidRPr="009B2C6A">
        <w:rPr>
          <w:rFonts w:cs="Calibri" w:hint="cs"/>
          <w:b/>
          <w:bCs/>
          <w:sz w:val="32"/>
          <w:szCs w:val="32"/>
          <w:u w:val="single"/>
          <w:rtl/>
        </w:rPr>
        <w:t>الديموغرافية</w:t>
      </w:r>
      <w:bookmarkEnd w:id="0"/>
      <w:proofErr w:type="spellEnd"/>
    </w:p>
    <w:p w:rsidR="009B2C6A" w:rsidRPr="0067311A" w:rsidRDefault="009B2C6A" w:rsidP="009B2C6A">
      <w:pPr>
        <w:pStyle w:val="Paragraphedeliste"/>
        <w:numPr>
          <w:ilvl w:val="0"/>
          <w:numId w:val="1"/>
        </w:numPr>
        <w:bidi/>
        <w:spacing w:before="100" w:beforeAutospacing="1" w:after="100" w:afterAutospacing="1" w:line="240" w:lineRule="auto"/>
        <w:ind w:left="714" w:hanging="357"/>
        <w:contextualSpacing w:val="0"/>
        <w:jc w:val="both"/>
        <w:rPr>
          <w:rFonts w:cstheme="minorHAnsi"/>
          <w:b/>
          <w:bCs/>
          <w:rtl/>
        </w:rPr>
      </w:pPr>
      <w:bookmarkStart w:id="1" w:name="_Toc113548623"/>
      <w:r w:rsidRPr="0067311A">
        <w:rPr>
          <w:rFonts w:cstheme="minorHAnsi"/>
          <w:b/>
          <w:bCs/>
          <w:rtl/>
        </w:rPr>
        <w:t>تطور وتوزيع السكان على تراب الجماعة</w:t>
      </w:r>
      <w:bookmarkEnd w:id="1"/>
    </w:p>
    <w:p w:rsidR="009B2C6A" w:rsidRPr="0067311A" w:rsidRDefault="009B2C6A" w:rsidP="009B2C6A">
      <w:pPr>
        <w:bidi/>
        <w:spacing w:before="120" w:after="120"/>
        <w:jc w:val="both"/>
        <w:rPr>
          <w:rFonts w:cstheme="minorHAnsi"/>
          <w:rtl/>
          <w:lang w:bidi="ar-MA"/>
        </w:rPr>
      </w:pPr>
      <w:r w:rsidRPr="0067311A">
        <w:rPr>
          <w:rFonts w:cstheme="minorHAnsi" w:hint="cs"/>
          <w:rtl/>
          <w:lang w:bidi="ar-MA"/>
        </w:rPr>
        <w:t xml:space="preserve">ارتفع عدد ساكنة جماعة سيدي يحيى </w:t>
      </w:r>
      <w:proofErr w:type="spellStart"/>
      <w:r w:rsidRPr="0067311A">
        <w:rPr>
          <w:rFonts w:cstheme="minorHAnsi" w:hint="cs"/>
          <w:rtl/>
          <w:lang w:bidi="ar-MA"/>
        </w:rPr>
        <w:t>زعير</w:t>
      </w:r>
      <w:proofErr w:type="spellEnd"/>
      <w:r w:rsidRPr="0067311A">
        <w:rPr>
          <w:rFonts w:cstheme="minorHAnsi" w:hint="cs"/>
          <w:rtl/>
          <w:lang w:bidi="ar-MA"/>
        </w:rPr>
        <w:t xml:space="preserve"> من 28733 نسمة سنة 2004 ليصل إلى 57792 نسمة سنة 2014، لتسجل بذلك ارتفاعا إجماليا وصل إلى 29052 نسمة، أي بمتوسط معدل نمو وصل إلى 6,70٪، هذا المعدل أكبر بكثير من المعدل المسجل على المستوى الإقليمي (ما يعادل 3,78٪). وتمثل ساكنة الجماعة 10٪ من مجموع ساكنة عمالة </w:t>
      </w:r>
      <w:proofErr w:type="spellStart"/>
      <w:r w:rsidRPr="0067311A">
        <w:rPr>
          <w:rFonts w:cstheme="minorHAnsi" w:hint="cs"/>
          <w:rtl/>
          <w:lang w:bidi="ar-MA"/>
        </w:rPr>
        <w:t>الصخيرات</w:t>
      </w:r>
      <w:proofErr w:type="spellEnd"/>
      <w:r w:rsidRPr="0067311A">
        <w:rPr>
          <w:rFonts w:cstheme="minorHAnsi" w:hint="cs"/>
          <w:rtl/>
          <w:lang w:bidi="ar-MA"/>
        </w:rPr>
        <w:t xml:space="preserve"> </w:t>
      </w:r>
      <w:proofErr w:type="spellStart"/>
      <w:r w:rsidRPr="0067311A">
        <w:rPr>
          <w:rFonts w:cstheme="minorHAnsi" w:hint="cs"/>
          <w:rtl/>
          <w:lang w:bidi="ar-MA"/>
        </w:rPr>
        <w:t>تمارة</w:t>
      </w:r>
      <w:proofErr w:type="spellEnd"/>
      <w:r w:rsidRPr="0067311A">
        <w:rPr>
          <w:rFonts w:cstheme="minorHAnsi" w:hint="cs"/>
          <w:rtl/>
          <w:lang w:bidi="ar-MA"/>
        </w:rPr>
        <w:t>. فيما وصل عدد سكان الجماعة خلال سنة 2020 حسب التوقعات إلى 73970 نسمة.</w:t>
      </w:r>
    </w:p>
    <w:p w:rsidR="009B2C6A" w:rsidRPr="0067311A" w:rsidRDefault="009B2C6A" w:rsidP="009B2C6A">
      <w:pPr>
        <w:bidi/>
        <w:spacing w:before="120" w:after="120"/>
        <w:jc w:val="both"/>
        <w:rPr>
          <w:rFonts w:cstheme="minorHAnsi"/>
          <w:rtl/>
          <w:lang w:bidi="ar-MA"/>
        </w:rPr>
      </w:pPr>
      <w:r w:rsidRPr="0067311A">
        <w:rPr>
          <w:rFonts w:cstheme="minorHAnsi" w:hint="cs"/>
          <w:rtl/>
          <w:lang w:bidi="ar-MA"/>
        </w:rPr>
        <w:t xml:space="preserve">من جهة أخرى، </w:t>
      </w:r>
      <w:proofErr w:type="spellStart"/>
      <w:r w:rsidRPr="0067311A">
        <w:rPr>
          <w:rFonts w:cstheme="minorHAnsi" w:hint="cs"/>
          <w:rtl/>
          <w:lang w:bidi="ar-MA"/>
        </w:rPr>
        <w:t>تجذر</w:t>
      </w:r>
      <w:proofErr w:type="spellEnd"/>
      <w:r w:rsidRPr="0067311A">
        <w:rPr>
          <w:rFonts w:cstheme="minorHAnsi" w:hint="cs"/>
          <w:rtl/>
          <w:lang w:bidi="ar-MA"/>
        </w:rPr>
        <w:t xml:space="preserve"> الإشارة إلى أن هذا الارتفاع الكبير في معدل الن</w:t>
      </w:r>
      <w:proofErr w:type="gramStart"/>
      <w:r w:rsidRPr="0067311A">
        <w:rPr>
          <w:rFonts w:cstheme="minorHAnsi" w:hint="cs"/>
          <w:rtl/>
          <w:lang w:bidi="ar-MA"/>
        </w:rPr>
        <w:t>مو</w:t>
      </w:r>
      <w:proofErr w:type="gramEnd"/>
      <w:r w:rsidRPr="0067311A">
        <w:rPr>
          <w:rFonts w:cstheme="minorHAnsi" w:hint="cs"/>
          <w:rtl/>
          <w:lang w:bidi="ar-MA"/>
        </w:rPr>
        <w:t xml:space="preserve"> راجع بالأساس إلى إحداث المدينة الجديدة </w:t>
      </w:r>
      <w:proofErr w:type="spellStart"/>
      <w:r w:rsidRPr="0067311A">
        <w:rPr>
          <w:rFonts w:cstheme="minorHAnsi" w:hint="cs"/>
          <w:rtl/>
          <w:lang w:bidi="ar-MA"/>
        </w:rPr>
        <w:t>تامسنا</w:t>
      </w:r>
      <w:proofErr w:type="spellEnd"/>
      <w:r w:rsidRPr="0067311A">
        <w:rPr>
          <w:rFonts w:cstheme="minorHAnsi" w:hint="cs"/>
          <w:rtl/>
          <w:lang w:bidi="ar-MA"/>
        </w:rPr>
        <w:t xml:space="preserve"> على مستوى تراب الجماعة في سنة 2007. هذا الارتفاع قابل للزيادة في السنوات المقبلة، نظرا لكون </w:t>
      </w:r>
      <w:proofErr w:type="spellStart"/>
      <w:r w:rsidRPr="0067311A">
        <w:rPr>
          <w:rFonts w:cstheme="minorHAnsi" w:hint="cs"/>
          <w:rtl/>
          <w:lang w:bidi="ar-MA"/>
        </w:rPr>
        <w:t>المسؤولين</w:t>
      </w:r>
      <w:proofErr w:type="spellEnd"/>
      <w:r w:rsidRPr="0067311A">
        <w:rPr>
          <w:rFonts w:cstheme="minorHAnsi" w:hint="cs"/>
          <w:rtl/>
          <w:lang w:bidi="ar-MA"/>
        </w:rPr>
        <w:t xml:space="preserve"> عن المدينة يتوقعون أن تستقر بالمدينة أكثر من 250000 نسمة في أفق سنة 2030. </w:t>
      </w:r>
    </w:p>
    <w:p w:rsidR="009B2C6A" w:rsidRPr="0067311A" w:rsidRDefault="009B2C6A" w:rsidP="009B2C6A">
      <w:pPr>
        <w:bidi/>
        <w:spacing w:before="120" w:after="120"/>
        <w:jc w:val="both"/>
        <w:rPr>
          <w:rFonts w:cstheme="minorHAnsi"/>
          <w:rtl/>
          <w:lang w:bidi="ar-MA"/>
        </w:rPr>
      </w:pPr>
      <w:r w:rsidRPr="0067311A">
        <w:rPr>
          <w:rFonts w:cstheme="minorHAnsi" w:hint="cs"/>
          <w:rtl/>
          <w:lang w:bidi="ar-MA"/>
        </w:rPr>
        <w:t xml:space="preserve">فيما يخص توزيع الساكنة على تراب الجماعة، وحسب معطيات إحصاء 2014، نسجل أكبر كثافة سكانية على مستوى أحياء المدينة الجديدة </w:t>
      </w:r>
      <w:proofErr w:type="spellStart"/>
      <w:r w:rsidRPr="0067311A">
        <w:rPr>
          <w:rFonts w:cstheme="minorHAnsi" w:hint="cs"/>
          <w:rtl/>
          <w:lang w:bidi="ar-MA"/>
        </w:rPr>
        <w:t>تامسنا</w:t>
      </w:r>
      <w:proofErr w:type="spellEnd"/>
      <w:r w:rsidRPr="0067311A">
        <w:rPr>
          <w:rFonts w:cstheme="minorHAnsi" w:hint="cs"/>
          <w:rtl/>
          <w:lang w:bidi="ar-MA"/>
        </w:rPr>
        <w:t xml:space="preserve">، ما يناهز 50٪ من مجموع ساكنة الجماعة تستقر على مستوى هذه </w:t>
      </w:r>
      <w:proofErr w:type="spellStart"/>
      <w:r w:rsidRPr="0067311A">
        <w:rPr>
          <w:rFonts w:cstheme="minorHAnsi" w:hint="cs"/>
          <w:rtl/>
          <w:lang w:bidi="ar-MA"/>
        </w:rPr>
        <w:t>الاحياء</w:t>
      </w:r>
      <w:proofErr w:type="spellEnd"/>
      <w:r w:rsidRPr="0067311A">
        <w:rPr>
          <w:rFonts w:cstheme="minorHAnsi" w:hint="cs"/>
          <w:rtl/>
          <w:lang w:bidi="ar-MA"/>
        </w:rPr>
        <w:t xml:space="preserve">، فيما باقي الساكنة موزعة بين مركز الجماعة </w:t>
      </w:r>
      <w:proofErr w:type="spellStart"/>
      <w:r w:rsidRPr="0067311A">
        <w:rPr>
          <w:rFonts w:cstheme="minorHAnsi" w:hint="cs"/>
          <w:rtl/>
          <w:lang w:bidi="ar-MA"/>
        </w:rPr>
        <w:t>والدواوير</w:t>
      </w:r>
      <w:proofErr w:type="spellEnd"/>
      <w:r w:rsidRPr="0067311A">
        <w:rPr>
          <w:rFonts w:cstheme="minorHAnsi" w:hint="cs"/>
          <w:rtl/>
          <w:lang w:bidi="ar-MA"/>
        </w:rPr>
        <w:t xml:space="preserve"> بالمجال القروي.</w:t>
      </w:r>
    </w:p>
    <w:p w:rsidR="009B2C6A" w:rsidRPr="0067311A" w:rsidRDefault="009B2C6A" w:rsidP="009B2C6A">
      <w:pPr>
        <w:bidi/>
        <w:spacing w:before="120" w:after="120"/>
        <w:jc w:val="both"/>
        <w:rPr>
          <w:rFonts w:cstheme="minorHAnsi"/>
          <w:rtl/>
          <w:lang w:bidi="ar-MA"/>
        </w:rPr>
      </w:pPr>
      <w:r w:rsidRPr="0067311A">
        <w:rPr>
          <w:rFonts w:cstheme="minorHAnsi" w:hint="cs"/>
          <w:rtl/>
          <w:lang w:bidi="ar-MA"/>
        </w:rPr>
        <w:t>أما فيما يخص توزيع الساكنة حسب الجنس، فحسب معطيات إحصاء 2014، 51,1٪ ذكور و48,9 إناث.</w:t>
      </w:r>
    </w:p>
    <w:p w:rsidR="009B2C6A" w:rsidRPr="0067311A" w:rsidRDefault="009B2C6A" w:rsidP="009B2C6A">
      <w:pPr>
        <w:pStyle w:val="Lgende"/>
        <w:keepNext/>
        <w:bidi/>
        <w:spacing w:before="120" w:after="120"/>
        <w:jc w:val="center"/>
        <w:rPr>
          <w:rFonts w:cstheme="minorHAnsi"/>
          <w:i w:val="0"/>
          <w:iCs w:val="0"/>
          <w:color w:val="auto"/>
          <w:sz w:val="22"/>
          <w:szCs w:val="22"/>
          <w:u w:val="single"/>
        </w:rPr>
      </w:pPr>
      <w:bookmarkStart w:id="2" w:name="_Toc116397897"/>
      <w:bookmarkStart w:id="3" w:name="_Toc117810833"/>
      <w:proofErr w:type="spellStart"/>
      <w:r w:rsidRPr="0067311A">
        <w:rPr>
          <w:rFonts w:cstheme="minorHAnsi"/>
          <w:i w:val="0"/>
          <w:iCs w:val="0"/>
          <w:color w:val="auto"/>
          <w:sz w:val="22"/>
          <w:szCs w:val="22"/>
          <w:u w:val="single"/>
          <w:rtl/>
        </w:rPr>
        <w:t>مبيان</w:t>
      </w:r>
      <w:proofErr w:type="spellEnd"/>
      <w:r w:rsidRPr="0067311A">
        <w:rPr>
          <w:rFonts w:cstheme="minorHAnsi"/>
          <w:i w:val="0"/>
          <w:iCs w:val="0"/>
          <w:color w:val="auto"/>
          <w:sz w:val="22"/>
          <w:szCs w:val="22"/>
          <w:u w:val="single"/>
        </w:rPr>
        <w:fldChar w:fldCharType="begin"/>
      </w:r>
      <w:r w:rsidRPr="0067311A">
        <w:rPr>
          <w:rFonts w:cstheme="minorHAnsi"/>
          <w:i w:val="0"/>
          <w:iCs w:val="0"/>
          <w:color w:val="auto"/>
          <w:sz w:val="22"/>
          <w:szCs w:val="22"/>
          <w:u w:val="single"/>
        </w:rPr>
        <w:instrText xml:space="preserve"> SEQ </w:instrText>
      </w:r>
      <w:r w:rsidRPr="0067311A">
        <w:rPr>
          <w:rFonts w:cstheme="minorHAnsi"/>
          <w:i w:val="0"/>
          <w:iCs w:val="0"/>
          <w:color w:val="auto"/>
          <w:sz w:val="22"/>
          <w:szCs w:val="22"/>
          <w:u w:val="single"/>
          <w:rtl/>
        </w:rPr>
        <w:instrText>مبيان</w:instrText>
      </w:r>
      <w:r w:rsidRPr="0067311A">
        <w:rPr>
          <w:rFonts w:cstheme="minorHAnsi"/>
          <w:i w:val="0"/>
          <w:iCs w:val="0"/>
          <w:color w:val="auto"/>
          <w:sz w:val="22"/>
          <w:szCs w:val="22"/>
          <w:u w:val="single"/>
        </w:rPr>
        <w:instrText xml:space="preserve"> \* ARABIC </w:instrText>
      </w:r>
      <w:r w:rsidRPr="0067311A">
        <w:rPr>
          <w:rFonts w:cstheme="minorHAnsi"/>
          <w:i w:val="0"/>
          <w:iCs w:val="0"/>
          <w:color w:val="auto"/>
          <w:sz w:val="22"/>
          <w:szCs w:val="22"/>
          <w:u w:val="single"/>
        </w:rPr>
        <w:fldChar w:fldCharType="separate"/>
      </w:r>
      <w:r w:rsidRPr="0067311A">
        <w:rPr>
          <w:rFonts w:cstheme="minorHAnsi"/>
          <w:i w:val="0"/>
          <w:iCs w:val="0"/>
          <w:noProof/>
          <w:color w:val="auto"/>
          <w:sz w:val="22"/>
          <w:szCs w:val="22"/>
          <w:u w:val="single"/>
        </w:rPr>
        <w:t>4</w:t>
      </w:r>
      <w:r w:rsidRPr="0067311A">
        <w:rPr>
          <w:rFonts w:cstheme="minorHAnsi"/>
          <w:i w:val="0"/>
          <w:iCs w:val="0"/>
          <w:color w:val="auto"/>
          <w:sz w:val="22"/>
          <w:szCs w:val="22"/>
          <w:u w:val="single"/>
        </w:rPr>
        <w:fldChar w:fldCharType="end"/>
      </w:r>
      <w:r w:rsidRPr="0067311A">
        <w:rPr>
          <w:rFonts w:cstheme="minorHAnsi" w:hint="cs"/>
          <w:i w:val="0"/>
          <w:iCs w:val="0"/>
          <w:color w:val="auto"/>
          <w:sz w:val="22"/>
          <w:szCs w:val="22"/>
          <w:u w:val="single"/>
          <w:rtl/>
        </w:rPr>
        <w:t>: تطور عدد سكان الجماعة ما بين سنة 2004 و2020</w:t>
      </w:r>
      <w:bookmarkEnd w:id="2"/>
      <w:bookmarkEnd w:id="3"/>
    </w:p>
    <w:p w:rsidR="009B2C6A" w:rsidRPr="0067311A" w:rsidRDefault="009B2C6A" w:rsidP="009B2C6A">
      <w:pPr>
        <w:bidi/>
        <w:spacing w:before="100" w:beforeAutospacing="1" w:after="100" w:afterAutospacing="1" w:line="360" w:lineRule="auto"/>
        <w:jc w:val="center"/>
        <w:rPr>
          <w:rFonts w:cs="Arial"/>
          <w:rtl/>
          <w:lang w:val="fr-MA"/>
        </w:rPr>
      </w:pPr>
      <w:r w:rsidRPr="0067311A">
        <w:rPr>
          <w:noProof/>
        </w:rPr>
        <w:drawing>
          <wp:inline distT="0" distB="0" distL="0" distR="0">
            <wp:extent cx="4460682" cy="2480807"/>
            <wp:effectExtent l="19050" t="0" r="16068" b="0"/>
            <wp:docPr id="25" name="Graphique 25">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CC0C1FD6-7052-DE45-ABA5-D177EB2FD8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B2C6A" w:rsidRPr="0067311A" w:rsidRDefault="009B2C6A" w:rsidP="009B2C6A">
      <w:pPr>
        <w:pStyle w:val="Paragraphedeliste"/>
        <w:numPr>
          <w:ilvl w:val="0"/>
          <w:numId w:val="1"/>
        </w:numPr>
        <w:bidi/>
        <w:spacing w:before="100" w:beforeAutospacing="1" w:after="100" w:afterAutospacing="1" w:line="240" w:lineRule="auto"/>
        <w:ind w:left="714" w:hanging="357"/>
        <w:jc w:val="both"/>
        <w:rPr>
          <w:rFonts w:cstheme="minorHAnsi"/>
          <w:b/>
          <w:bCs/>
          <w:rtl/>
        </w:rPr>
      </w:pPr>
      <w:bookmarkStart w:id="4" w:name="_Toc113548624"/>
      <w:r w:rsidRPr="0067311A">
        <w:rPr>
          <w:rFonts w:cstheme="minorHAnsi" w:hint="cs"/>
          <w:b/>
          <w:bCs/>
          <w:rtl/>
        </w:rPr>
        <w:t>تطور عدد الأسر بالجماعة</w:t>
      </w:r>
      <w:bookmarkEnd w:id="4"/>
    </w:p>
    <w:p w:rsidR="009B2C6A" w:rsidRPr="0067311A" w:rsidRDefault="009B2C6A" w:rsidP="009B2C6A">
      <w:pPr>
        <w:bidi/>
        <w:spacing w:before="120" w:after="120"/>
        <w:jc w:val="both"/>
        <w:rPr>
          <w:rFonts w:cstheme="minorHAnsi"/>
          <w:rtl/>
        </w:rPr>
      </w:pPr>
      <w:r w:rsidRPr="0067311A">
        <w:rPr>
          <w:rFonts w:cstheme="minorHAnsi" w:hint="cs"/>
          <w:rtl/>
        </w:rPr>
        <w:t xml:space="preserve">حسب معطيات إحصاء 2014، عرفت جماعة سيدي يحيى </w:t>
      </w:r>
      <w:proofErr w:type="spellStart"/>
      <w:r w:rsidRPr="0067311A">
        <w:rPr>
          <w:rFonts w:cstheme="minorHAnsi" w:hint="cs"/>
          <w:rtl/>
        </w:rPr>
        <w:t>زعير</w:t>
      </w:r>
      <w:proofErr w:type="spellEnd"/>
      <w:r w:rsidRPr="0067311A">
        <w:rPr>
          <w:rFonts w:cstheme="minorHAnsi" w:hint="cs"/>
          <w:rtl/>
        </w:rPr>
        <w:t xml:space="preserve"> زيادة ملحوظة في عدد الأسر بلغ 8096 أسرة مقارنة مع سنة 2004، مع معدل نمو وصل إلى 8,4٪،</w:t>
      </w:r>
      <w:proofErr w:type="gramStart"/>
      <w:r w:rsidRPr="0067311A">
        <w:rPr>
          <w:rFonts w:cstheme="minorHAnsi" w:hint="cs"/>
          <w:rtl/>
        </w:rPr>
        <w:t xml:space="preserve"> أ</w:t>
      </w:r>
      <w:proofErr w:type="gramEnd"/>
      <w:r w:rsidRPr="0067311A">
        <w:rPr>
          <w:rFonts w:cstheme="minorHAnsi" w:hint="cs"/>
          <w:rtl/>
        </w:rPr>
        <w:t xml:space="preserve">كبر بكثير من المعدل المسجل على المستوى الإقليمي خلال نفس الفترة (4,9٪). هذا التزايد في عدد الأسر رافقه تراجع طفيف في العدد المتوسط للأفراد داخل الأسرة على مستوى الجماعة والذي انتقل من 5 أفراد سنة 2004 إلى 4,2 فردا سنة 2014. ويمكن تفسير هذه الحالة بالتغيرات </w:t>
      </w:r>
      <w:proofErr w:type="spellStart"/>
      <w:r w:rsidRPr="0067311A">
        <w:rPr>
          <w:rFonts w:cstheme="minorHAnsi" w:hint="cs"/>
          <w:rtl/>
        </w:rPr>
        <w:t>السوسيواقتصادية</w:t>
      </w:r>
      <w:proofErr w:type="spellEnd"/>
      <w:r w:rsidRPr="0067311A">
        <w:rPr>
          <w:rFonts w:cstheme="minorHAnsi" w:hint="cs"/>
          <w:rtl/>
        </w:rPr>
        <w:t xml:space="preserve"> التي عرفتها الأسر المغربية نتيجة التخطيط العائلي وظاهرة الهجرة نحو المدن الكبرى (الانتقال نحو </w:t>
      </w:r>
      <w:proofErr w:type="spellStart"/>
      <w:r w:rsidRPr="0067311A">
        <w:rPr>
          <w:rFonts w:cstheme="minorHAnsi" w:hint="cs"/>
          <w:rtl/>
        </w:rPr>
        <w:t>الاسرة</w:t>
      </w:r>
      <w:proofErr w:type="spellEnd"/>
      <w:r w:rsidRPr="0067311A">
        <w:rPr>
          <w:rFonts w:cstheme="minorHAnsi" w:hint="cs"/>
          <w:rtl/>
        </w:rPr>
        <w:t xml:space="preserve"> النواة).</w:t>
      </w:r>
    </w:p>
    <w:p w:rsidR="009B2C6A" w:rsidRPr="0067311A" w:rsidRDefault="009B2C6A" w:rsidP="009B2C6A">
      <w:pPr>
        <w:pStyle w:val="Lgende"/>
        <w:keepNext/>
        <w:bidi/>
        <w:spacing w:before="120" w:after="120"/>
        <w:jc w:val="center"/>
        <w:rPr>
          <w:rFonts w:cstheme="minorHAnsi" w:hint="cs"/>
          <w:i w:val="0"/>
          <w:iCs w:val="0"/>
          <w:color w:val="auto"/>
          <w:sz w:val="22"/>
          <w:szCs w:val="22"/>
          <w:u w:val="single"/>
          <w:rtl/>
        </w:rPr>
      </w:pPr>
      <w:bookmarkStart w:id="5" w:name="_Toc116397849"/>
      <w:bookmarkStart w:id="6" w:name="_Toc117885893"/>
    </w:p>
    <w:p w:rsidR="009B2C6A" w:rsidRPr="0067311A" w:rsidRDefault="009B2C6A" w:rsidP="009B2C6A">
      <w:pPr>
        <w:pStyle w:val="Lgende"/>
        <w:keepNext/>
        <w:bidi/>
        <w:spacing w:before="120" w:after="120"/>
        <w:jc w:val="center"/>
        <w:rPr>
          <w:rFonts w:cstheme="minorHAnsi" w:hint="cs"/>
          <w:i w:val="0"/>
          <w:iCs w:val="0"/>
          <w:color w:val="auto"/>
          <w:sz w:val="22"/>
          <w:szCs w:val="22"/>
          <w:u w:val="single"/>
          <w:rtl/>
        </w:rPr>
      </w:pPr>
    </w:p>
    <w:p w:rsidR="009B2C6A" w:rsidRPr="0067311A" w:rsidRDefault="009B2C6A" w:rsidP="009B2C6A">
      <w:pPr>
        <w:bidi/>
        <w:rPr>
          <w:rFonts w:hint="cs"/>
          <w:rtl/>
          <w:lang w:eastAsia="en-US"/>
        </w:rPr>
      </w:pPr>
    </w:p>
    <w:p w:rsidR="009B2C6A" w:rsidRPr="0067311A" w:rsidRDefault="009B2C6A" w:rsidP="009B2C6A">
      <w:pPr>
        <w:pStyle w:val="Lgende"/>
        <w:keepNext/>
        <w:bidi/>
        <w:spacing w:before="120" w:after="120"/>
        <w:jc w:val="center"/>
        <w:rPr>
          <w:rFonts w:cstheme="minorHAnsi"/>
          <w:i w:val="0"/>
          <w:iCs w:val="0"/>
          <w:color w:val="auto"/>
          <w:sz w:val="22"/>
          <w:szCs w:val="22"/>
          <w:u w:val="single"/>
        </w:rPr>
      </w:pPr>
      <w:r w:rsidRPr="0067311A">
        <w:rPr>
          <w:rFonts w:cstheme="minorHAnsi"/>
          <w:i w:val="0"/>
          <w:iCs w:val="0"/>
          <w:color w:val="auto"/>
          <w:sz w:val="22"/>
          <w:szCs w:val="22"/>
          <w:u w:val="single"/>
          <w:rtl/>
        </w:rPr>
        <w:t xml:space="preserve">جدول </w:t>
      </w:r>
      <w:r w:rsidRPr="0067311A">
        <w:rPr>
          <w:rFonts w:cstheme="minorHAnsi"/>
          <w:i w:val="0"/>
          <w:iCs w:val="0"/>
          <w:color w:val="auto"/>
          <w:sz w:val="22"/>
          <w:szCs w:val="22"/>
          <w:u w:val="single"/>
          <w:rtl/>
        </w:rPr>
        <w:fldChar w:fldCharType="begin"/>
      </w:r>
      <w:r w:rsidRPr="0067311A">
        <w:rPr>
          <w:rFonts w:cstheme="minorHAnsi"/>
          <w:i w:val="0"/>
          <w:iCs w:val="0"/>
          <w:color w:val="auto"/>
          <w:sz w:val="22"/>
          <w:szCs w:val="22"/>
          <w:u w:val="single"/>
        </w:rPr>
        <w:instrText>SEQ</w:instrText>
      </w:r>
      <w:r w:rsidRPr="0067311A">
        <w:rPr>
          <w:rFonts w:cstheme="minorHAnsi"/>
          <w:i w:val="0"/>
          <w:iCs w:val="0"/>
          <w:color w:val="auto"/>
          <w:sz w:val="22"/>
          <w:szCs w:val="22"/>
          <w:u w:val="single"/>
          <w:rtl/>
        </w:rPr>
        <w:instrText xml:space="preserve"> جدول \* </w:instrText>
      </w:r>
      <w:r w:rsidRPr="0067311A">
        <w:rPr>
          <w:rFonts w:cstheme="minorHAnsi"/>
          <w:i w:val="0"/>
          <w:iCs w:val="0"/>
          <w:color w:val="auto"/>
          <w:sz w:val="22"/>
          <w:szCs w:val="22"/>
          <w:u w:val="single"/>
        </w:rPr>
        <w:instrText>ARABIC</w:instrText>
      </w:r>
      <w:r w:rsidRPr="0067311A">
        <w:rPr>
          <w:rFonts w:cstheme="minorHAnsi"/>
          <w:i w:val="0"/>
          <w:iCs w:val="0"/>
          <w:color w:val="auto"/>
          <w:sz w:val="22"/>
          <w:szCs w:val="22"/>
          <w:u w:val="single"/>
          <w:rtl/>
        </w:rPr>
        <w:fldChar w:fldCharType="separate"/>
      </w:r>
      <w:r w:rsidRPr="0067311A">
        <w:rPr>
          <w:rFonts w:cstheme="minorHAnsi"/>
          <w:i w:val="0"/>
          <w:iCs w:val="0"/>
          <w:noProof/>
          <w:color w:val="auto"/>
          <w:sz w:val="22"/>
          <w:szCs w:val="22"/>
          <w:u w:val="single"/>
          <w:rtl/>
        </w:rPr>
        <w:t>3</w:t>
      </w:r>
      <w:r w:rsidRPr="0067311A">
        <w:rPr>
          <w:rFonts w:cstheme="minorHAnsi"/>
          <w:i w:val="0"/>
          <w:iCs w:val="0"/>
          <w:color w:val="auto"/>
          <w:sz w:val="22"/>
          <w:szCs w:val="22"/>
          <w:u w:val="single"/>
          <w:rtl/>
        </w:rPr>
        <w:fldChar w:fldCharType="end"/>
      </w:r>
      <w:r w:rsidRPr="0067311A">
        <w:rPr>
          <w:rFonts w:cstheme="minorHAnsi" w:hint="cs"/>
          <w:i w:val="0"/>
          <w:iCs w:val="0"/>
          <w:color w:val="auto"/>
          <w:sz w:val="22"/>
          <w:szCs w:val="22"/>
          <w:u w:val="single"/>
          <w:rtl/>
        </w:rPr>
        <w:t xml:space="preserve">: تطور عدد سكان الجماعة </w:t>
      </w:r>
      <w:proofErr w:type="spellStart"/>
      <w:r w:rsidRPr="0067311A">
        <w:rPr>
          <w:rFonts w:cstheme="minorHAnsi" w:hint="cs"/>
          <w:i w:val="0"/>
          <w:iCs w:val="0"/>
          <w:color w:val="auto"/>
          <w:sz w:val="22"/>
          <w:szCs w:val="22"/>
          <w:u w:val="single"/>
          <w:rtl/>
        </w:rPr>
        <w:t>والاقليم</w:t>
      </w:r>
      <w:proofErr w:type="spellEnd"/>
      <w:r w:rsidRPr="0067311A">
        <w:rPr>
          <w:rFonts w:cstheme="minorHAnsi" w:hint="cs"/>
          <w:i w:val="0"/>
          <w:iCs w:val="0"/>
          <w:color w:val="auto"/>
          <w:sz w:val="22"/>
          <w:szCs w:val="22"/>
          <w:u w:val="single"/>
          <w:rtl/>
        </w:rPr>
        <w:t xml:space="preserve"> ما بين سنتي 2004 و2014</w:t>
      </w:r>
      <w:bookmarkEnd w:id="5"/>
      <w:bookmarkEnd w:id="6"/>
    </w:p>
    <w:tbl>
      <w:tblPr>
        <w:tblStyle w:val="TableauGrille2-Accentuation11"/>
        <w:bidiVisual/>
        <w:tblW w:w="0" w:type="auto"/>
        <w:jc w:val="center"/>
        <w:tblLook w:val="04A0"/>
      </w:tblPr>
      <w:tblGrid>
        <w:gridCol w:w="2265"/>
        <w:gridCol w:w="2265"/>
        <w:gridCol w:w="2266"/>
        <w:gridCol w:w="2266"/>
      </w:tblGrid>
      <w:tr w:rsidR="009B2C6A" w:rsidRPr="0067311A" w:rsidTr="00FC334A">
        <w:trPr>
          <w:cnfStyle w:val="100000000000"/>
          <w:jc w:val="center"/>
        </w:trPr>
        <w:tc>
          <w:tcPr>
            <w:cnfStyle w:val="001000000000"/>
            <w:tcW w:w="2265" w:type="dxa"/>
          </w:tcPr>
          <w:p w:rsidR="009B2C6A" w:rsidRPr="0067311A" w:rsidRDefault="009B2C6A" w:rsidP="00FC334A">
            <w:pPr>
              <w:bidi/>
              <w:spacing w:before="60" w:after="60"/>
              <w:jc w:val="center"/>
              <w:rPr>
                <w:rFonts w:cstheme="minorHAnsi"/>
                <w:rtl/>
                <w:lang w:val="fr-MA"/>
              </w:rPr>
            </w:pPr>
          </w:p>
        </w:tc>
        <w:tc>
          <w:tcPr>
            <w:tcW w:w="2265" w:type="dxa"/>
          </w:tcPr>
          <w:p w:rsidR="009B2C6A" w:rsidRPr="0067311A" w:rsidRDefault="009B2C6A" w:rsidP="00FC334A">
            <w:pPr>
              <w:bidi/>
              <w:spacing w:before="60" w:after="60"/>
              <w:jc w:val="center"/>
              <w:cnfStyle w:val="100000000000"/>
              <w:rPr>
                <w:rFonts w:cstheme="minorHAnsi"/>
                <w:b w:val="0"/>
                <w:bCs w:val="0"/>
                <w:rtl/>
                <w:lang w:val="fr-MA"/>
              </w:rPr>
            </w:pPr>
            <w:r w:rsidRPr="0067311A">
              <w:rPr>
                <w:rFonts w:cstheme="minorHAnsi" w:hint="cs"/>
                <w:rtl/>
                <w:lang w:val="fr-MA"/>
              </w:rPr>
              <w:t xml:space="preserve">عدد الأسر </w:t>
            </w:r>
          </w:p>
          <w:p w:rsidR="009B2C6A" w:rsidRPr="0067311A" w:rsidRDefault="009B2C6A" w:rsidP="00FC334A">
            <w:pPr>
              <w:bidi/>
              <w:spacing w:before="60" w:after="60"/>
              <w:jc w:val="center"/>
              <w:cnfStyle w:val="100000000000"/>
              <w:rPr>
                <w:rFonts w:cstheme="minorHAnsi"/>
                <w:rtl/>
                <w:lang w:val="fr-MA"/>
              </w:rPr>
            </w:pPr>
            <w:proofErr w:type="gramStart"/>
            <w:r w:rsidRPr="0067311A">
              <w:rPr>
                <w:rFonts w:cstheme="minorHAnsi" w:hint="cs"/>
                <w:rtl/>
                <w:lang w:val="fr-MA"/>
              </w:rPr>
              <w:t>سنة</w:t>
            </w:r>
            <w:proofErr w:type="gramEnd"/>
            <w:r w:rsidRPr="0067311A">
              <w:rPr>
                <w:rFonts w:cstheme="minorHAnsi" w:hint="cs"/>
                <w:rtl/>
                <w:lang w:val="fr-MA"/>
              </w:rPr>
              <w:t xml:space="preserve"> 2004</w:t>
            </w:r>
          </w:p>
        </w:tc>
        <w:tc>
          <w:tcPr>
            <w:tcW w:w="2266" w:type="dxa"/>
          </w:tcPr>
          <w:p w:rsidR="009B2C6A" w:rsidRPr="0067311A" w:rsidRDefault="009B2C6A" w:rsidP="00FC334A">
            <w:pPr>
              <w:bidi/>
              <w:spacing w:before="60" w:after="60"/>
              <w:jc w:val="center"/>
              <w:cnfStyle w:val="100000000000"/>
              <w:rPr>
                <w:rFonts w:cstheme="minorHAnsi"/>
                <w:lang w:val="fr-MA"/>
              </w:rPr>
            </w:pPr>
            <w:r w:rsidRPr="0067311A">
              <w:rPr>
                <w:rFonts w:cs="Calibri"/>
                <w:rtl/>
                <w:lang w:val="fr-MA"/>
              </w:rPr>
              <w:t>عدد الأسر</w:t>
            </w:r>
          </w:p>
          <w:p w:rsidR="009B2C6A" w:rsidRPr="0067311A" w:rsidRDefault="009B2C6A" w:rsidP="00FC334A">
            <w:pPr>
              <w:bidi/>
              <w:spacing w:before="60" w:after="60"/>
              <w:jc w:val="center"/>
              <w:cnfStyle w:val="100000000000"/>
              <w:rPr>
                <w:rFonts w:cstheme="minorHAnsi"/>
                <w:rtl/>
                <w:lang w:val="fr-MA"/>
              </w:rPr>
            </w:pPr>
            <w:proofErr w:type="gramStart"/>
            <w:r w:rsidRPr="0067311A">
              <w:rPr>
                <w:rFonts w:cs="Calibri"/>
                <w:rtl/>
                <w:lang w:val="fr-MA"/>
              </w:rPr>
              <w:t>سنة</w:t>
            </w:r>
            <w:proofErr w:type="gramEnd"/>
            <w:r w:rsidRPr="0067311A">
              <w:rPr>
                <w:rFonts w:cs="Calibri"/>
                <w:rtl/>
                <w:lang w:val="fr-MA"/>
              </w:rPr>
              <w:t xml:space="preserve"> 20</w:t>
            </w:r>
            <w:r w:rsidRPr="0067311A">
              <w:rPr>
                <w:rFonts w:cs="Calibri" w:hint="cs"/>
                <w:rtl/>
                <w:lang w:val="fr-MA"/>
              </w:rPr>
              <w:t>1</w:t>
            </w:r>
            <w:r w:rsidRPr="0067311A">
              <w:rPr>
                <w:rFonts w:cs="Calibri"/>
                <w:rtl/>
                <w:lang w:val="fr-MA"/>
              </w:rPr>
              <w:t>4</w:t>
            </w:r>
          </w:p>
        </w:tc>
        <w:tc>
          <w:tcPr>
            <w:tcW w:w="2266" w:type="dxa"/>
          </w:tcPr>
          <w:p w:rsidR="009B2C6A" w:rsidRPr="0067311A" w:rsidRDefault="009B2C6A" w:rsidP="00FC334A">
            <w:pPr>
              <w:bidi/>
              <w:spacing w:before="60" w:after="60"/>
              <w:jc w:val="center"/>
              <w:cnfStyle w:val="100000000000"/>
              <w:rPr>
                <w:rFonts w:cstheme="minorHAnsi"/>
                <w:b w:val="0"/>
                <w:bCs w:val="0"/>
                <w:rtl/>
                <w:lang w:val="fr-MA"/>
              </w:rPr>
            </w:pPr>
            <w:proofErr w:type="gramStart"/>
            <w:r w:rsidRPr="0067311A">
              <w:rPr>
                <w:rFonts w:cstheme="minorHAnsi" w:hint="cs"/>
                <w:rtl/>
                <w:lang w:val="fr-MA"/>
              </w:rPr>
              <w:t>معدل</w:t>
            </w:r>
            <w:proofErr w:type="gramEnd"/>
            <w:r w:rsidRPr="0067311A">
              <w:rPr>
                <w:rFonts w:cstheme="minorHAnsi" w:hint="cs"/>
                <w:rtl/>
                <w:lang w:val="fr-MA"/>
              </w:rPr>
              <w:t xml:space="preserve"> </w:t>
            </w:r>
          </w:p>
          <w:p w:rsidR="009B2C6A" w:rsidRPr="0067311A" w:rsidRDefault="009B2C6A" w:rsidP="00FC334A">
            <w:pPr>
              <w:bidi/>
              <w:spacing w:before="60" w:after="60"/>
              <w:jc w:val="center"/>
              <w:cnfStyle w:val="100000000000"/>
              <w:rPr>
                <w:rFonts w:cstheme="minorHAnsi"/>
                <w:rtl/>
                <w:lang w:val="fr-MA"/>
              </w:rPr>
            </w:pPr>
            <w:r w:rsidRPr="0067311A">
              <w:rPr>
                <w:rFonts w:cstheme="minorHAnsi" w:hint="cs"/>
                <w:rtl/>
                <w:lang w:val="fr-MA"/>
              </w:rPr>
              <w:t xml:space="preserve">تزايد </w:t>
            </w:r>
            <w:proofErr w:type="spellStart"/>
            <w:r w:rsidRPr="0067311A">
              <w:rPr>
                <w:rFonts w:cstheme="minorHAnsi" w:hint="cs"/>
                <w:rtl/>
                <w:lang w:val="fr-MA"/>
              </w:rPr>
              <w:t>الاسر</w:t>
            </w:r>
            <w:proofErr w:type="spellEnd"/>
            <w:r w:rsidRPr="0067311A">
              <w:rPr>
                <w:rFonts w:cstheme="minorHAnsi" w:hint="cs"/>
                <w:rtl/>
                <w:lang w:val="fr-MA"/>
              </w:rPr>
              <w:t xml:space="preserve"> </w:t>
            </w:r>
          </w:p>
        </w:tc>
      </w:tr>
      <w:tr w:rsidR="009B2C6A" w:rsidRPr="0067311A" w:rsidTr="00FC334A">
        <w:trPr>
          <w:cnfStyle w:val="000000100000"/>
          <w:jc w:val="center"/>
        </w:trPr>
        <w:tc>
          <w:tcPr>
            <w:cnfStyle w:val="001000000000"/>
            <w:tcW w:w="2265" w:type="dxa"/>
          </w:tcPr>
          <w:p w:rsidR="009B2C6A" w:rsidRPr="0067311A" w:rsidRDefault="009B2C6A" w:rsidP="00FC334A">
            <w:pPr>
              <w:bidi/>
              <w:spacing w:before="60" w:after="60"/>
              <w:jc w:val="both"/>
              <w:rPr>
                <w:rFonts w:cstheme="minorHAnsi"/>
                <w:rtl/>
                <w:lang w:val="fr-MA"/>
              </w:rPr>
            </w:pPr>
            <w:proofErr w:type="gramStart"/>
            <w:r w:rsidRPr="0067311A">
              <w:rPr>
                <w:rFonts w:cstheme="minorHAnsi" w:hint="cs"/>
                <w:rtl/>
                <w:lang w:val="fr-MA"/>
              </w:rPr>
              <w:lastRenderedPageBreak/>
              <w:t>الجماعة</w:t>
            </w:r>
            <w:proofErr w:type="gramEnd"/>
          </w:p>
        </w:tc>
        <w:tc>
          <w:tcPr>
            <w:tcW w:w="2265" w:type="dxa"/>
          </w:tcPr>
          <w:p w:rsidR="009B2C6A" w:rsidRPr="0067311A" w:rsidRDefault="009B2C6A" w:rsidP="00FC334A">
            <w:pPr>
              <w:bidi/>
              <w:spacing w:before="60" w:after="60"/>
              <w:jc w:val="center"/>
              <w:cnfStyle w:val="000000100000"/>
              <w:rPr>
                <w:rFonts w:cstheme="minorHAnsi"/>
                <w:rtl/>
                <w:lang w:val="fr-MA"/>
              </w:rPr>
            </w:pPr>
            <w:r w:rsidRPr="0067311A">
              <w:rPr>
                <w:rFonts w:cstheme="minorHAnsi" w:hint="cs"/>
                <w:rtl/>
                <w:lang w:val="fr-MA"/>
              </w:rPr>
              <w:t>5624</w:t>
            </w:r>
          </w:p>
        </w:tc>
        <w:tc>
          <w:tcPr>
            <w:tcW w:w="2266" w:type="dxa"/>
          </w:tcPr>
          <w:p w:rsidR="009B2C6A" w:rsidRPr="0067311A" w:rsidRDefault="009B2C6A" w:rsidP="00FC334A">
            <w:pPr>
              <w:bidi/>
              <w:spacing w:before="60" w:after="60"/>
              <w:jc w:val="center"/>
              <w:cnfStyle w:val="000000100000"/>
              <w:rPr>
                <w:rFonts w:cstheme="minorHAnsi"/>
                <w:rtl/>
                <w:lang w:val="fr-MA"/>
              </w:rPr>
            </w:pPr>
            <w:r w:rsidRPr="0067311A">
              <w:rPr>
                <w:rFonts w:cstheme="minorHAnsi" w:hint="cs"/>
                <w:rtl/>
                <w:lang w:val="fr-MA"/>
              </w:rPr>
              <w:t>13720</w:t>
            </w:r>
          </w:p>
        </w:tc>
        <w:tc>
          <w:tcPr>
            <w:tcW w:w="2266" w:type="dxa"/>
          </w:tcPr>
          <w:p w:rsidR="009B2C6A" w:rsidRPr="0067311A" w:rsidRDefault="009B2C6A" w:rsidP="00FC334A">
            <w:pPr>
              <w:bidi/>
              <w:spacing w:before="60" w:after="60"/>
              <w:jc w:val="center"/>
              <w:cnfStyle w:val="000000100000"/>
              <w:rPr>
                <w:rFonts w:cstheme="minorHAnsi"/>
                <w:rtl/>
                <w:lang w:val="fr-MA"/>
              </w:rPr>
            </w:pPr>
            <w:r w:rsidRPr="0067311A">
              <w:rPr>
                <w:rFonts w:cstheme="minorHAnsi" w:hint="cs"/>
                <w:rtl/>
                <w:lang w:val="fr-MA"/>
              </w:rPr>
              <w:t>8,4%</w:t>
            </w:r>
          </w:p>
        </w:tc>
      </w:tr>
      <w:tr w:rsidR="009B2C6A" w:rsidRPr="0067311A" w:rsidTr="00FC334A">
        <w:trPr>
          <w:jc w:val="center"/>
        </w:trPr>
        <w:tc>
          <w:tcPr>
            <w:cnfStyle w:val="001000000000"/>
            <w:tcW w:w="2265" w:type="dxa"/>
          </w:tcPr>
          <w:p w:rsidR="009B2C6A" w:rsidRPr="0067311A" w:rsidRDefault="009B2C6A" w:rsidP="00FC334A">
            <w:pPr>
              <w:bidi/>
              <w:spacing w:before="60" w:after="60"/>
              <w:jc w:val="both"/>
              <w:rPr>
                <w:rFonts w:cstheme="minorHAnsi"/>
                <w:rtl/>
                <w:lang w:val="fr-MA"/>
              </w:rPr>
            </w:pPr>
            <w:proofErr w:type="gramStart"/>
            <w:r w:rsidRPr="0067311A">
              <w:rPr>
                <w:rFonts w:cstheme="minorHAnsi" w:hint="cs"/>
                <w:rtl/>
                <w:lang w:val="fr-MA"/>
              </w:rPr>
              <w:t>الإقليم</w:t>
            </w:r>
            <w:proofErr w:type="gramEnd"/>
          </w:p>
        </w:tc>
        <w:tc>
          <w:tcPr>
            <w:tcW w:w="2265" w:type="dxa"/>
          </w:tcPr>
          <w:p w:rsidR="009B2C6A" w:rsidRPr="0067311A" w:rsidRDefault="009B2C6A" w:rsidP="00FC334A">
            <w:pPr>
              <w:bidi/>
              <w:spacing w:before="60" w:after="60"/>
              <w:jc w:val="center"/>
              <w:cnfStyle w:val="000000000000"/>
              <w:rPr>
                <w:rFonts w:cstheme="minorHAnsi"/>
                <w:rtl/>
                <w:lang w:val="fr-MA"/>
              </w:rPr>
            </w:pPr>
            <w:r w:rsidRPr="0067311A">
              <w:rPr>
                <w:rFonts w:cstheme="minorHAnsi" w:hint="cs"/>
                <w:rtl/>
                <w:lang w:val="fr-MA"/>
              </w:rPr>
              <w:t>81820</w:t>
            </w:r>
          </w:p>
        </w:tc>
        <w:tc>
          <w:tcPr>
            <w:tcW w:w="2266" w:type="dxa"/>
          </w:tcPr>
          <w:p w:rsidR="009B2C6A" w:rsidRPr="0067311A" w:rsidRDefault="009B2C6A" w:rsidP="00FC334A">
            <w:pPr>
              <w:bidi/>
              <w:spacing w:before="60" w:after="60"/>
              <w:jc w:val="center"/>
              <w:cnfStyle w:val="000000000000"/>
              <w:rPr>
                <w:rFonts w:cstheme="minorHAnsi"/>
                <w:rtl/>
                <w:lang w:val="fr-MA"/>
              </w:rPr>
            </w:pPr>
            <w:r w:rsidRPr="0067311A">
              <w:rPr>
                <w:rFonts w:cstheme="minorHAnsi" w:hint="cs"/>
                <w:rtl/>
                <w:lang w:val="fr-MA"/>
              </w:rPr>
              <w:t>135200</w:t>
            </w:r>
          </w:p>
        </w:tc>
        <w:tc>
          <w:tcPr>
            <w:tcW w:w="2266" w:type="dxa"/>
          </w:tcPr>
          <w:p w:rsidR="009B2C6A" w:rsidRPr="0067311A" w:rsidRDefault="009B2C6A" w:rsidP="00FC334A">
            <w:pPr>
              <w:bidi/>
              <w:spacing w:before="60" w:after="60"/>
              <w:jc w:val="center"/>
              <w:cnfStyle w:val="000000000000"/>
              <w:rPr>
                <w:rFonts w:cstheme="minorHAnsi"/>
                <w:rtl/>
                <w:lang w:val="fr-MA"/>
              </w:rPr>
            </w:pPr>
            <w:r w:rsidRPr="0067311A">
              <w:rPr>
                <w:rFonts w:cstheme="minorHAnsi" w:hint="cs"/>
                <w:rtl/>
                <w:lang w:val="fr-MA"/>
              </w:rPr>
              <w:t>4,9%</w:t>
            </w:r>
          </w:p>
        </w:tc>
      </w:tr>
    </w:tbl>
    <w:p w:rsidR="009B2C6A" w:rsidRPr="0067311A" w:rsidRDefault="009B2C6A" w:rsidP="009B2C6A">
      <w:pPr>
        <w:pStyle w:val="Paragraphedeliste"/>
        <w:numPr>
          <w:ilvl w:val="0"/>
          <w:numId w:val="1"/>
        </w:numPr>
        <w:bidi/>
        <w:spacing w:before="100" w:beforeAutospacing="1" w:after="100" w:afterAutospacing="1" w:line="240" w:lineRule="auto"/>
        <w:ind w:left="714" w:hanging="357"/>
        <w:jc w:val="both"/>
        <w:rPr>
          <w:rFonts w:cstheme="minorHAnsi"/>
          <w:b/>
          <w:bCs/>
          <w:rtl/>
        </w:rPr>
      </w:pPr>
      <w:bookmarkStart w:id="7" w:name="_Toc113548625"/>
      <w:r w:rsidRPr="0067311A">
        <w:rPr>
          <w:rFonts w:cstheme="minorHAnsi" w:hint="cs"/>
          <w:b/>
          <w:bCs/>
          <w:rtl/>
        </w:rPr>
        <w:t>تطور وتوزيع السكان حسب الفئات العمرية</w:t>
      </w:r>
      <w:bookmarkEnd w:id="7"/>
    </w:p>
    <w:p w:rsidR="009B2C6A" w:rsidRPr="0067311A" w:rsidRDefault="009B2C6A" w:rsidP="009B2C6A">
      <w:pPr>
        <w:bidi/>
        <w:spacing w:before="120" w:after="120" w:line="360" w:lineRule="auto"/>
        <w:jc w:val="both"/>
        <w:rPr>
          <w:rFonts w:cstheme="minorHAnsi"/>
          <w:rtl/>
        </w:rPr>
      </w:pPr>
      <w:r w:rsidRPr="0067311A">
        <w:rPr>
          <w:rFonts w:cstheme="minorHAnsi" w:hint="cs"/>
          <w:rtl/>
        </w:rPr>
        <w:t xml:space="preserve">من خلال معطيات إحصائي عام 2004 و2014، نلاحظ </w:t>
      </w:r>
      <w:proofErr w:type="gramStart"/>
      <w:r w:rsidRPr="0067311A">
        <w:rPr>
          <w:rFonts w:cstheme="minorHAnsi" w:hint="cs"/>
          <w:rtl/>
        </w:rPr>
        <w:t>أنه</w:t>
      </w:r>
      <w:proofErr w:type="gramEnd"/>
      <w:r w:rsidRPr="0067311A">
        <w:rPr>
          <w:rFonts w:cstheme="minorHAnsi" w:hint="cs"/>
          <w:rtl/>
        </w:rPr>
        <w:t>:</w:t>
      </w:r>
    </w:p>
    <w:p w:rsidR="009B2C6A" w:rsidRPr="0067311A" w:rsidRDefault="009B2C6A" w:rsidP="009B2C6A">
      <w:pPr>
        <w:bidi/>
        <w:spacing w:before="120" w:after="120" w:line="360" w:lineRule="auto"/>
        <w:jc w:val="both"/>
        <w:rPr>
          <w:rFonts w:cstheme="minorHAnsi"/>
          <w:rtl/>
        </w:rPr>
      </w:pPr>
      <w:r w:rsidRPr="0067311A">
        <w:rPr>
          <w:rFonts w:cstheme="minorHAnsi" w:hint="cs"/>
          <w:rtl/>
        </w:rPr>
        <w:t>خلال هذه الفترة عرفت مختلف الفئات العمرية ارتفاعا ملحوظا في نسبها، وسجلت الفئة العمرية لأقل من خمس سنوات، والفئة العمرية بين 15 سنة و59 سنة، أكبر نمو. فيما سجلت الفئة العمرية لأكثر من 60 سنة أقل ارتفاع، بلغ 2,88%.</w:t>
      </w:r>
    </w:p>
    <w:p w:rsidR="009B2C6A" w:rsidRPr="0067311A" w:rsidRDefault="009B2C6A" w:rsidP="009B2C6A">
      <w:pPr>
        <w:pStyle w:val="Lgende"/>
        <w:keepNext/>
        <w:bidi/>
        <w:spacing w:before="120" w:after="120"/>
        <w:jc w:val="center"/>
        <w:rPr>
          <w:sz w:val="22"/>
          <w:szCs w:val="22"/>
        </w:rPr>
      </w:pPr>
      <w:bookmarkStart w:id="8" w:name="_Toc116397850"/>
      <w:bookmarkStart w:id="9" w:name="_Toc117885894"/>
      <w:r w:rsidRPr="0067311A">
        <w:rPr>
          <w:rFonts w:cstheme="minorHAnsi"/>
          <w:i w:val="0"/>
          <w:iCs w:val="0"/>
          <w:color w:val="auto"/>
          <w:sz w:val="22"/>
          <w:szCs w:val="22"/>
          <w:u w:val="single"/>
          <w:rtl/>
        </w:rPr>
        <w:t>جدول</w:t>
      </w:r>
      <w:r w:rsidRPr="0067311A">
        <w:rPr>
          <w:rFonts w:cstheme="minorHAnsi"/>
          <w:i w:val="0"/>
          <w:iCs w:val="0"/>
          <w:color w:val="auto"/>
          <w:sz w:val="22"/>
          <w:szCs w:val="22"/>
          <w:u w:val="single"/>
          <w:rtl/>
        </w:rPr>
        <w:fldChar w:fldCharType="begin"/>
      </w:r>
      <w:r w:rsidRPr="0067311A">
        <w:rPr>
          <w:rFonts w:cstheme="minorHAnsi" w:hint="cs"/>
          <w:i w:val="0"/>
          <w:iCs w:val="0"/>
          <w:color w:val="auto"/>
          <w:sz w:val="22"/>
          <w:szCs w:val="22"/>
          <w:u w:val="single"/>
        </w:rPr>
        <w:instrText>SEQ</w:instrText>
      </w:r>
      <w:r w:rsidRPr="0067311A">
        <w:rPr>
          <w:rFonts w:cstheme="minorHAnsi" w:hint="cs"/>
          <w:i w:val="0"/>
          <w:iCs w:val="0"/>
          <w:color w:val="auto"/>
          <w:sz w:val="22"/>
          <w:szCs w:val="22"/>
          <w:u w:val="single"/>
          <w:rtl/>
        </w:rPr>
        <w:instrText xml:space="preserve"> جدول \* </w:instrText>
      </w:r>
      <w:r w:rsidRPr="0067311A">
        <w:rPr>
          <w:rFonts w:cstheme="minorHAnsi" w:hint="cs"/>
          <w:i w:val="0"/>
          <w:iCs w:val="0"/>
          <w:color w:val="auto"/>
          <w:sz w:val="22"/>
          <w:szCs w:val="22"/>
          <w:u w:val="single"/>
        </w:rPr>
        <w:instrText>ARABIC</w:instrText>
      </w:r>
      <w:r w:rsidRPr="0067311A">
        <w:rPr>
          <w:rFonts w:cstheme="minorHAnsi"/>
          <w:i w:val="0"/>
          <w:iCs w:val="0"/>
          <w:color w:val="auto"/>
          <w:sz w:val="22"/>
          <w:szCs w:val="22"/>
          <w:u w:val="single"/>
          <w:rtl/>
        </w:rPr>
        <w:fldChar w:fldCharType="separate"/>
      </w:r>
      <w:r w:rsidRPr="0067311A">
        <w:rPr>
          <w:rFonts w:cstheme="minorHAnsi"/>
          <w:i w:val="0"/>
          <w:iCs w:val="0"/>
          <w:noProof/>
          <w:color w:val="auto"/>
          <w:sz w:val="22"/>
          <w:szCs w:val="22"/>
          <w:u w:val="single"/>
          <w:rtl/>
        </w:rPr>
        <w:t>4</w:t>
      </w:r>
      <w:r w:rsidRPr="0067311A">
        <w:rPr>
          <w:rFonts w:cstheme="minorHAnsi"/>
          <w:i w:val="0"/>
          <w:iCs w:val="0"/>
          <w:color w:val="auto"/>
          <w:sz w:val="22"/>
          <w:szCs w:val="22"/>
          <w:u w:val="single"/>
          <w:rtl/>
        </w:rPr>
        <w:fldChar w:fldCharType="end"/>
      </w:r>
      <w:r w:rsidRPr="0067311A">
        <w:rPr>
          <w:rFonts w:cstheme="minorHAnsi" w:hint="cs"/>
          <w:i w:val="0"/>
          <w:iCs w:val="0"/>
          <w:color w:val="auto"/>
          <w:sz w:val="22"/>
          <w:szCs w:val="22"/>
          <w:u w:val="single"/>
          <w:rtl/>
        </w:rPr>
        <w:t xml:space="preserve">: </w:t>
      </w:r>
      <w:r w:rsidRPr="0067311A">
        <w:rPr>
          <w:rFonts w:cstheme="minorHAnsi"/>
          <w:i w:val="0"/>
          <w:iCs w:val="0"/>
          <w:color w:val="auto"/>
          <w:sz w:val="22"/>
          <w:szCs w:val="22"/>
          <w:u w:val="single"/>
          <w:rtl/>
        </w:rPr>
        <w:t>تطور سكان الجماعة حسب الفئات العمرية ما بين سنتي 2004 و2014</w:t>
      </w:r>
      <w:bookmarkEnd w:id="8"/>
      <w:bookmarkEnd w:id="9"/>
    </w:p>
    <w:tbl>
      <w:tblPr>
        <w:tblStyle w:val="TableauGrille2-Accentuation51"/>
        <w:tblW w:w="7513" w:type="dxa"/>
        <w:jc w:val="center"/>
        <w:tblLook w:val="04A0"/>
      </w:tblPr>
      <w:tblGrid>
        <w:gridCol w:w="1360"/>
        <w:gridCol w:w="1200"/>
        <w:gridCol w:w="1200"/>
        <w:gridCol w:w="3753"/>
      </w:tblGrid>
      <w:tr w:rsidR="009B2C6A" w:rsidRPr="0067311A" w:rsidTr="00FC334A">
        <w:trPr>
          <w:cnfStyle w:val="100000000000"/>
          <w:trHeight w:val="315"/>
          <w:jc w:val="center"/>
        </w:trPr>
        <w:tc>
          <w:tcPr>
            <w:cnfStyle w:val="001000000000"/>
            <w:tcW w:w="1360" w:type="dxa"/>
            <w:vMerge w:val="restart"/>
            <w:hideMark/>
          </w:tcPr>
          <w:p w:rsidR="009B2C6A" w:rsidRPr="0067311A" w:rsidRDefault="009B2C6A" w:rsidP="00FC334A">
            <w:pPr>
              <w:bidi/>
              <w:spacing w:before="60" w:after="60"/>
              <w:jc w:val="center"/>
              <w:rPr>
                <w:rFonts w:ascii="Calibri" w:eastAsia="Times New Roman" w:hAnsi="Calibri" w:cs="Calibri"/>
                <w:b w:val="0"/>
                <w:bCs w:val="0"/>
                <w:color w:val="000000"/>
                <w:lang w:eastAsia="fr-FR"/>
              </w:rPr>
            </w:pPr>
            <w:proofErr w:type="gramStart"/>
            <w:r w:rsidRPr="0067311A">
              <w:rPr>
                <w:rFonts w:ascii="Calibri" w:eastAsia="Times New Roman" w:hAnsi="Calibri" w:cs="Calibri"/>
                <w:color w:val="000000"/>
                <w:rtl/>
                <w:lang w:eastAsia="fr-FR"/>
              </w:rPr>
              <w:t>معدل</w:t>
            </w:r>
            <w:proofErr w:type="gramEnd"/>
            <w:r w:rsidRPr="0067311A">
              <w:rPr>
                <w:rFonts w:ascii="Calibri" w:eastAsia="Times New Roman" w:hAnsi="Calibri" w:cs="Calibri"/>
                <w:color w:val="000000"/>
                <w:rtl/>
                <w:lang w:eastAsia="fr-FR"/>
              </w:rPr>
              <w:t xml:space="preserve"> النمو%</w:t>
            </w:r>
          </w:p>
        </w:tc>
        <w:tc>
          <w:tcPr>
            <w:tcW w:w="2400" w:type="dxa"/>
            <w:gridSpan w:val="2"/>
            <w:noWrap/>
            <w:hideMark/>
          </w:tcPr>
          <w:p w:rsidR="009B2C6A" w:rsidRPr="0067311A" w:rsidRDefault="009B2C6A" w:rsidP="00FC334A">
            <w:pPr>
              <w:bidi/>
              <w:spacing w:before="60" w:after="60"/>
              <w:jc w:val="center"/>
              <w:cnfStyle w:val="100000000000"/>
              <w:rPr>
                <w:rFonts w:ascii="Calibri" w:eastAsia="Times New Roman" w:hAnsi="Calibri" w:cs="Calibri"/>
                <w:color w:val="000000"/>
                <w:rtl/>
                <w:lang w:eastAsia="fr-FR"/>
              </w:rPr>
            </w:pPr>
            <w:r w:rsidRPr="0067311A">
              <w:rPr>
                <w:rFonts w:ascii="Calibri" w:eastAsia="Times New Roman" w:hAnsi="Calibri" w:cs="Calibri"/>
                <w:color w:val="000000"/>
                <w:rtl/>
                <w:lang w:eastAsia="fr-FR"/>
              </w:rPr>
              <w:t>عدد السكان</w:t>
            </w:r>
          </w:p>
        </w:tc>
        <w:tc>
          <w:tcPr>
            <w:tcW w:w="3753" w:type="dxa"/>
            <w:vMerge w:val="restart"/>
            <w:noWrap/>
            <w:hideMark/>
          </w:tcPr>
          <w:p w:rsidR="009B2C6A" w:rsidRPr="0067311A" w:rsidRDefault="009B2C6A" w:rsidP="00FC334A">
            <w:pPr>
              <w:bidi/>
              <w:spacing w:before="60" w:after="60"/>
              <w:jc w:val="center"/>
              <w:cnfStyle w:val="100000000000"/>
              <w:rPr>
                <w:rFonts w:ascii="Calibri" w:eastAsia="Times New Roman" w:hAnsi="Calibri" w:cs="Calibri"/>
                <w:color w:val="000000"/>
                <w:rtl/>
                <w:lang w:eastAsia="fr-FR"/>
              </w:rPr>
            </w:pPr>
          </w:p>
          <w:p w:rsidR="009B2C6A" w:rsidRPr="0067311A" w:rsidRDefault="009B2C6A" w:rsidP="00FC334A">
            <w:pPr>
              <w:bidi/>
              <w:spacing w:before="60" w:after="60"/>
              <w:jc w:val="center"/>
              <w:cnfStyle w:val="100000000000"/>
              <w:rPr>
                <w:rFonts w:ascii="Calibri" w:eastAsia="Times New Roman" w:hAnsi="Calibri" w:cs="Calibri"/>
                <w:b w:val="0"/>
                <w:bCs w:val="0"/>
                <w:color w:val="000000"/>
                <w:rtl/>
                <w:lang w:eastAsia="fr-FR"/>
              </w:rPr>
            </w:pPr>
            <w:r w:rsidRPr="0067311A">
              <w:rPr>
                <w:rFonts w:ascii="Calibri" w:eastAsia="Times New Roman" w:hAnsi="Calibri" w:cs="Calibri"/>
                <w:color w:val="000000"/>
                <w:rtl/>
                <w:lang w:eastAsia="fr-FR"/>
              </w:rPr>
              <w:t>الفئات العمرية</w:t>
            </w:r>
          </w:p>
        </w:tc>
      </w:tr>
      <w:tr w:rsidR="009B2C6A" w:rsidRPr="0067311A" w:rsidTr="00FC334A">
        <w:trPr>
          <w:cnfStyle w:val="000000100000"/>
          <w:trHeight w:val="315"/>
          <w:jc w:val="center"/>
        </w:trPr>
        <w:tc>
          <w:tcPr>
            <w:cnfStyle w:val="001000000000"/>
            <w:tcW w:w="1360" w:type="dxa"/>
            <w:vMerge/>
            <w:hideMark/>
          </w:tcPr>
          <w:p w:rsidR="009B2C6A" w:rsidRPr="0067311A" w:rsidRDefault="009B2C6A" w:rsidP="00FC334A">
            <w:pPr>
              <w:spacing w:before="60" w:after="60"/>
              <w:rPr>
                <w:rFonts w:ascii="Calibri" w:eastAsia="Times New Roman" w:hAnsi="Calibri" w:cs="Calibri"/>
                <w:color w:val="000000"/>
                <w:lang w:eastAsia="fr-FR"/>
              </w:rPr>
            </w:pPr>
          </w:p>
        </w:tc>
        <w:tc>
          <w:tcPr>
            <w:tcW w:w="1200" w:type="dxa"/>
            <w:noWrap/>
            <w:hideMark/>
          </w:tcPr>
          <w:p w:rsidR="009B2C6A" w:rsidRPr="0067311A" w:rsidRDefault="009B2C6A" w:rsidP="00FC334A">
            <w:pPr>
              <w:spacing w:before="60" w:after="60"/>
              <w:jc w:val="center"/>
              <w:cnfStyle w:val="000000100000"/>
              <w:rPr>
                <w:rFonts w:ascii="Calibri" w:eastAsia="Times New Roman" w:hAnsi="Calibri" w:cs="Calibri"/>
                <w:b/>
                <w:bCs/>
                <w:color w:val="000000"/>
                <w:rtl/>
                <w:lang w:eastAsia="fr-FR"/>
              </w:rPr>
            </w:pPr>
            <w:r w:rsidRPr="0067311A">
              <w:rPr>
                <w:rFonts w:ascii="Calibri" w:eastAsia="Times New Roman" w:hAnsi="Calibri" w:cs="Calibri"/>
                <w:b/>
                <w:bCs/>
                <w:color w:val="000000"/>
                <w:lang w:eastAsia="fr-FR"/>
              </w:rPr>
              <w:t>2014</w:t>
            </w:r>
          </w:p>
        </w:tc>
        <w:tc>
          <w:tcPr>
            <w:tcW w:w="1200" w:type="dxa"/>
            <w:noWrap/>
            <w:hideMark/>
          </w:tcPr>
          <w:p w:rsidR="009B2C6A" w:rsidRPr="0067311A" w:rsidRDefault="009B2C6A" w:rsidP="00FC334A">
            <w:pPr>
              <w:spacing w:before="60" w:after="60"/>
              <w:jc w:val="center"/>
              <w:cnfStyle w:val="000000100000"/>
              <w:rPr>
                <w:rFonts w:ascii="Calibri" w:eastAsia="Times New Roman" w:hAnsi="Calibri" w:cs="Calibri"/>
                <w:b/>
                <w:bCs/>
                <w:color w:val="000000"/>
                <w:lang w:eastAsia="fr-FR"/>
              </w:rPr>
            </w:pPr>
            <w:r w:rsidRPr="0067311A">
              <w:rPr>
                <w:rFonts w:ascii="Calibri" w:eastAsia="Times New Roman" w:hAnsi="Calibri" w:cs="Calibri"/>
                <w:b/>
                <w:bCs/>
                <w:color w:val="000000"/>
                <w:lang w:eastAsia="fr-FR"/>
              </w:rPr>
              <w:t>2004</w:t>
            </w:r>
          </w:p>
        </w:tc>
        <w:tc>
          <w:tcPr>
            <w:tcW w:w="3753" w:type="dxa"/>
            <w:vMerge/>
            <w:hideMark/>
          </w:tcPr>
          <w:p w:rsidR="009B2C6A" w:rsidRPr="0067311A" w:rsidRDefault="009B2C6A" w:rsidP="00FC334A">
            <w:pPr>
              <w:spacing w:before="60" w:after="60"/>
              <w:cnfStyle w:val="000000100000"/>
              <w:rPr>
                <w:rFonts w:ascii="Calibri" w:eastAsia="Times New Roman" w:hAnsi="Calibri" w:cs="Calibri"/>
                <w:b/>
                <w:bCs/>
                <w:color w:val="000000"/>
                <w:lang w:eastAsia="fr-FR"/>
              </w:rPr>
            </w:pPr>
          </w:p>
        </w:tc>
      </w:tr>
      <w:tr w:rsidR="009B2C6A" w:rsidRPr="0067311A" w:rsidTr="00FC334A">
        <w:trPr>
          <w:trHeight w:val="330"/>
          <w:jc w:val="center"/>
        </w:trPr>
        <w:tc>
          <w:tcPr>
            <w:cnfStyle w:val="001000000000"/>
            <w:tcW w:w="1360" w:type="dxa"/>
            <w:noWrap/>
            <w:hideMark/>
          </w:tcPr>
          <w:p w:rsidR="009B2C6A" w:rsidRPr="0067311A" w:rsidRDefault="009B2C6A" w:rsidP="00FC334A">
            <w:pPr>
              <w:spacing w:before="60" w:after="60"/>
              <w:jc w:val="center"/>
              <w:rPr>
                <w:rFonts w:ascii="Calibri" w:eastAsia="Times New Roman" w:hAnsi="Calibri" w:cs="Calibri"/>
                <w:color w:val="000000"/>
                <w:lang w:eastAsia="fr-FR"/>
              </w:rPr>
            </w:pPr>
            <w:r w:rsidRPr="0067311A">
              <w:rPr>
                <w:rFonts w:ascii="Calibri" w:eastAsia="Times New Roman" w:hAnsi="Calibri" w:cs="Calibri" w:hint="cs"/>
                <w:color w:val="000000"/>
                <w:rtl/>
                <w:lang w:eastAsia="fr-FR"/>
              </w:rPr>
              <w:t>7</w:t>
            </w:r>
            <w:r w:rsidRPr="0067311A">
              <w:rPr>
                <w:rFonts w:ascii="Calibri" w:eastAsia="Times New Roman" w:hAnsi="Calibri" w:cs="Calibri"/>
                <w:color w:val="000000"/>
                <w:lang w:eastAsia="fr-FR"/>
              </w:rPr>
              <w:t>,</w:t>
            </w:r>
            <w:r w:rsidRPr="0067311A">
              <w:rPr>
                <w:rFonts w:ascii="Calibri" w:eastAsia="Times New Roman" w:hAnsi="Calibri" w:cs="Calibri" w:hint="cs"/>
                <w:color w:val="000000"/>
                <w:rtl/>
                <w:lang w:eastAsia="fr-FR"/>
              </w:rPr>
              <w:t>41</w:t>
            </w:r>
          </w:p>
        </w:tc>
        <w:tc>
          <w:tcPr>
            <w:tcW w:w="1200" w:type="dxa"/>
            <w:noWrap/>
            <w:hideMark/>
          </w:tcPr>
          <w:p w:rsidR="009B2C6A" w:rsidRPr="0067311A" w:rsidRDefault="009B2C6A" w:rsidP="00FC334A">
            <w:pPr>
              <w:spacing w:before="60" w:after="60"/>
              <w:jc w:val="center"/>
              <w:cnfStyle w:val="000000000000"/>
              <w:rPr>
                <w:rFonts w:ascii="Calibri" w:eastAsia="Times New Roman" w:hAnsi="Calibri" w:cs="Calibri"/>
                <w:color w:val="000000"/>
                <w:lang w:eastAsia="fr-FR"/>
              </w:rPr>
            </w:pPr>
            <w:r w:rsidRPr="0067311A">
              <w:rPr>
                <w:rFonts w:ascii="Calibri" w:eastAsia="Times New Roman" w:hAnsi="Calibri" w:cs="Calibri"/>
                <w:color w:val="000000"/>
                <w:lang w:eastAsia="fr-FR"/>
              </w:rPr>
              <w:t xml:space="preserve"> 7 </w:t>
            </w:r>
            <w:r w:rsidRPr="0067311A">
              <w:rPr>
                <w:rFonts w:ascii="Calibri" w:eastAsia="Times New Roman" w:hAnsi="Calibri" w:cs="Calibri" w:hint="cs"/>
                <w:color w:val="000000"/>
                <w:rtl/>
                <w:lang w:eastAsia="fr-FR"/>
              </w:rPr>
              <w:t>075</w:t>
            </w:r>
          </w:p>
        </w:tc>
        <w:tc>
          <w:tcPr>
            <w:tcW w:w="1200" w:type="dxa"/>
            <w:noWrap/>
            <w:hideMark/>
          </w:tcPr>
          <w:p w:rsidR="009B2C6A" w:rsidRPr="0067311A" w:rsidRDefault="009B2C6A" w:rsidP="00FC334A">
            <w:pPr>
              <w:spacing w:before="60" w:after="60"/>
              <w:jc w:val="center"/>
              <w:cnfStyle w:val="000000000000"/>
              <w:rPr>
                <w:rFonts w:ascii="Calibri" w:eastAsia="Times New Roman" w:hAnsi="Calibri" w:cs="Calibri"/>
                <w:color w:val="000000"/>
                <w:lang w:eastAsia="fr-FR"/>
              </w:rPr>
            </w:pPr>
            <w:r w:rsidRPr="0067311A">
              <w:rPr>
                <w:rFonts w:ascii="Calibri" w:eastAsia="Times New Roman" w:hAnsi="Calibri" w:cs="Calibri" w:hint="cs"/>
                <w:color w:val="000000"/>
                <w:rtl/>
                <w:lang w:eastAsia="fr-FR"/>
              </w:rPr>
              <w:t>3251</w:t>
            </w:r>
          </w:p>
        </w:tc>
        <w:tc>
          <w:tcPr>
            <w:tcW w:w="3753" w:type="dxa"/>
            <w:noWrap/>
            <w:hideMark/>
          </w:tcPr>
          <w:p w:rsidR="009B2C6A" w:rsidRPr="0067311A" w:rsidRDefault="009B2C6A" w:rsidP="00FC334A">
            <w:pPr>
              <w:bidi/>
              <w:spacing w:before="60" w:after="60"/>
              <w:cnfStyle w:val="000000000000"/>
              <w:rPr>
                <w:rFonts w:ascii="Calibri" w:eastAsia="Times New Roman" w:hAnsi="Calibri" w:cs="Calibri"/>
                <w:color w:val="000000"/>
                <w:lang w:eastAsia="fr-FR"/>
              </w:rPr>
            </w:pPr>
            <w:r w:rsidRPr="0067311A">
              <w:rPr>
                <w:rFonts w:ascii="Calibri" w:eastAsia="Times New Roman" w:hAnsi="Calibri" w:cs="Calibri"/>
                <w:color w:val="000000"/>
                <w:rtl/>
                <w:lang w:eastAsia="fr-FR"/>
              </w:rPr>
              <w:t>أقل من 5 سنوات</w:t>
            </w:r>
          </w:p>
        </w:tc>
      </w:tr>
      <w:tr w:rsidR="009B2C6A" w:rsidRPr="0067311A" w:rsidTr="00FC334A">
        <w:trPr>
          <w:cnfStyle w:val="000000100000"/>
          <w:trHeight w:val="315"/>
          <w:jc w:val="center"/>
        </w:trPr>
        <w:tc>
          <w:tcPr>
            <w:cnfStyle w:val="001000000000"/>
            <w:tcW w:w="1360" w:type="dxa"/>
            <w:noWrap/>
            <w:hideMark/>
          </w:tcPr>
          <w:p w:rsidR="009B2C6A" w:rsidRPr="0067311A" w:rsidRDefault="009B2C6A" w:rsidP="00FC334A">
            <w:pPr>
              <w:spacing w:before="60" w:after="60"/>
              <w:jc w:val="center"/>
              <w:rPr>
                <w:rFonts w:ascii="Calibri" w:eastAsia="Times New Roman" w:hAnsi="Calibri" w:cs="Calibri"/>
                <w:color w:val="000000"/>
                <w:rtl/>
                <w:lang w:eastAsia="fr-FR"/>
              </w:rPr>
            </w:pPr>
            <w:r w:rsidRPr="0067311A">
              <w:rPr>
                <w:rFonts w:ascii="Calibri" w:eastAsia="Times New Roman" w:hAnsi="Calibri" w:cs="Calibri" w:hint="cs"/>
                <w:color w:val="000000"/>
                <w:rtl/>
                <w:lang w:eastAsia="fr-FR"/>
              </w:rPr>
              <w:t>5</w:t>
            </w:r>
            <w:r w:rsidRPr="0067311A">
              <w:rPr>
                <w:rFonts w:ascii="Calibri" w:eastAsia="Times New Roman" w:hAnsi="Calibri" w:cs="Calibri"/>
                <w:color w:val="000000"/>
                <w:lang w:eastAsia="fr-FR"/>
              </w:rPr>
              <w:t>,</w:t>
            </w:r>
            <w:r w:rsidRPr="0067311A">
              <w:rPr>
                <w:rFonts w:ascii="Calibri" w:eastAsia="Times New Roman" w:hAnsi="Calibri" w:cs="Calibri" w:hint="cs"/>
                <w:color w:val="000000"/>
                <w:rtl/>
                <w:lang w:eastAsia="fr-FR"/>
              </w:rPr>
              <w:t>17</w:t>
            </w:r>
          </w:p>
        </w:tc>
        <w:tc>
          <w:tcPr>
            <w:tcW w:w="1200" w:type="dxa"/>
            <w:noWrap/>
            <w:hideMark/>
          </w:tcPr>
          <w:p w:rsidR="009B2C6A" w:rsidRPr="0067311A" w:rsidRDefault="009B2C6A" w:rsidP="00FC334A">
            <w:pPr>
              <w:spacing w:before="60" w:after="60"/>
              <w:jc w:val="center"/>
              <w:cnfStyle w:val="000000100000"/>
              <w:rPr>
                <w:rFonts w:ascii="Calibri" w:eastAsia="Times New Roman" w:hAnsi="Calibri" w:cs="Calibri"/>
                <w:color w:val="000000"/>
                <w:lang w:eastAsia="fr-FR"/>
              </w:rPr>
            </w:pPr>
            <w:r w:rsidRPr="0067311A">
              <w:rPr>
                <w:rFonts w:ascii="Calibri" w:eastAsia="Times New Roman" w:hAnsi="Calibri" w:cs="Calibri"/>
                <w:color w:val="000000"/>
                <w:lang w:eastAsia="fr-FR"/>
              </w:rPr>
              <w:t xml:space="preserve"> 11 3</w:t>
            </w:r>
            <w:r w:rsidRPr="0067311A">
              <w:rPr>
                <w:rFonts w:ascii="Calibri" w:eastAsia="Times New Roman" w:hAnsi="Calibri" w:cs="Calibri" w:hint="cs"/>
                <w:color w:val="000000"/>
                <w:rtl/>
                <w:lang w:eastAsia="fr-FR"/>
              </w:rPr>
              <w:t>2</w:t>
            </w:r>
            <w:r w:rsidRPr="0067311A">
              <w:rPr>
                <w:rFonts w:ascii="Calibri" w:eastAsia="Times New Roman" w:hAnsi="Calibri" w:cs="Calibri"/>
                <w:color w:val="000000"/>
                <w:lang w:eastAsia="fr-FR"/>
              </w:rPr>
              <w:t xml:space="preserve">5 </w:t>
            </w:r>
          </w:p>
        </w:tc>
        <w:tc>
          <w:tcPr>
            <w:tcW w:w="1200" w:type="dxa"/>
            <w:noWrap/>
            <w:hideMark/>
          </w:tcPr>
          <w:p w:rsidR="009B2C6A" w:rsidRPr="0067311A" w:rsidRDefault="009B2C6A" w:rsidP="00FC334A">
            <w:pPr>
              <w:spacing w:before="60" w:after="60"/>
              <w:jc w:val="center"/>
              <w:cnfStyle w:val="000000100000"/>
              <w:rPr>
                <w:rFonts w:ascii="Calibri" w:eastAsia="Times New Roman" w:hAnsi="Calibri" w:cs="Calibri"/>
                <w:color w:val="000000"/>
                <w:lang w:eastAsia="fr-FR"/>
              </w:rPr>
            </w:pPr>
            <w:r w:rsidRPr="0067311A">
              <w:rPr>
                <w:rFonts w:ascii="Calibri" w:eastAsia="Times New Roman" w:hAnsi="Calibri" w:cs="Calibri" w:hint="cs"/>
                <w:color w:val="000000"/>
                <w:rtl/>
                <w:lang w:eastAsia="fr-FR"/>
              </w:rPr>
              <w:t>6672</w:t>
            </w:r>
          </w:p>
        </w:tc>
        <w:tc>
          <w:tcPr>
            <w:tcW w:w="3753" w:type="dxa"/>
            <w:noWrap/>
            <w:hideMark/>
          </w:tcPr>
          <w:p w:rsidR="009B2C6A" w:rsidRPr="0067311A" w:rsidRDefault="009B2C6A" w:rsidP="00FC334A">
            <w:pPr>
              <w:bidi/>
              <w:spacing w:before="60" w:after="60"/>
              <w:cnfStyle w:val="000000100000"/>
              <w:rPr>
                <w:rFonts w:ascii="Calibri" w:eastAsia="Times New Roman" w:hAnsi="Calibri" w:cs="Calibri"/>
                <w:color w:val="000000"/>
                <w:lang w:eastAsia="fr-FR"/>
              </w:rPr>
            </w:pPr>
            <w:r w:rsidRPr="0067311A">
              <w:rPr>
                <w:rFonts w:ascii="Calibri" w:eastAsia="Times New Roman" w:hAnsi="Calibri" w:cs="Calibri"/>
                <w:color w:val="000000"/>
                <w:rtl/>
                <w:lang w:eastAsia="fr-FR"/>
              </w:rPr>
              <w:t xml:space="preserve">6 - 14 </w:t>
            </w:r>
            <w:proofErr w:type="gramStart"/>
            <w:r w:rsidRPr="0067311A">
              <w:rPr>
                <w:rFonts w:ascii="Calibri" w:eastAsia="Times New Roman" w:hAnsi="Calibri" w:cs="Calibri"/>
                <w:color w:val="000000"/>
                <w:rtl/>
                <w:lang w:eastAsia="fr-FR"/>
              </w:rPr>
              <w:t>سنة</w:t>
            </w:r>
            <w:proofErr w:type="gramEnd"/>
          </w:p>
        </w:tc>
      </w:tr>
      <w:tr w:rsidR="009B2C6A" w:rsidRPr="0067311A" w:rsidTr="00FC334A">
        <w:trPr>
          <w:trHeight w:val="315"/>
          <w:jc w:val="center"/>
        </w:trPr>
        <w:tc>
          <w:tcPr>
            <w:cnfStyle w:val="001000000000"/>
            <w:tcW w:w="1360" w:type="dxa"/>
            <w:noWrap/>
            <w:hideMark/>
          </w:tcPr>
          <w:p w:rsidR="009B2C6A" w:rsidRPr="0067311A" w:rsidRDefault="009B2C6A" w:rsidP="00FC334A">
            <w:pPr>
              <w:spacing w:before="60" w:after="60"/>
              <w:jc w:val="center"/>
              <w:rPr>
                <w:rFonts w:ascii="Calibri" w:eastAsia="Times New Roman" w:hAnsi="Calibri" w:cs="Calibri"/>
                <w:color w:val="000000"/>
                <w:rtl/>
                <w:lang w:eastAsia="fr-FR"/>
              </w:rPr>
            </w:pPr>
            <w:r w:rsidRPr="0067311A">
              <w:rPr>
                <w:rFonts w:ascii="Calibri" w:eastAsia="Times New Roman" w:hAnsi="Calibri" w:cs="Calibri" w:hint="cs"/>
                <w:color w:val="000000"/>
                <w:rtl/>
                <w:lang w:eastAsia="fr-FR"/>
              </w:rPr>
              <w:t>7</w:t>
            </w:r>
            <w:r w:rsidRPr="0067311A">
              <w:rPr>
                <w:rFonts w:ascii="Calibri" w:eastAsia="Times New Roman" w:hAnsi="Calibri" w:cs="Calibri"/>
                <w:color w:val="000000"/>
                <w:lang w:eastAsia="fr-FR"/>
              </w:rPr>
              <w:t>,</w:t>
            </w:r>
            <w:r w:rsidRPr="0067311A">
              <w:rPr>
                <w:rFonts w:ascii="Calibri" w:eastAsia="Times New Roman" w:hAnsi="Calibri" w:cs="Calibri" w:hint="cs"/>
                <w:color w:val="000000"/>
                <w:rtl/>
                <w:lang w:eastAsia="fr-FR"/>
              </w:rPr>
              <w:t>43</w:t>
            </w:r>
          </w:p>
        </w:tc>
        <w:tc>
          <w:tcPr>
            <w:tcW w:w="1200" w:type="dxa"/>
            <w:noWrap/>
            <w:hideMark/>
          </w:tcPr>
          <w:p w:rsidR="009B2C6A" w:rsidRPr="0067311A" w:rsidRDefault="009B2C6A" w:rsidP="00FC334A">
            <w:pPr>
              <w:spacing w:before="60" w:after="60"/>
              <w:jc w:val="center"/>
              <w:cnfStyle w:val="000000000000"/>
              <w:rPr>
                <w:rFonts w:ascii="Calibri" w:eastAsia="Times New Roman" w:hAnsi="Calibri" w:cs="Calibri"/>
                <w:color w:val="000000"/>
                <w:lang w:eastAsia="fr-FR"/>
              </w:rPr>
            </w:pPr>
            <w:r w:rsidRPr="0067311A">
              <w:rPr>
                <w:rFonts w:ascii="Calibri" w:eastAsia="Times New Roman" w:hAnsi="Calibri" w:cs="Calibri"/>
                <w:color w:val="000000"/>
                <w:lang w:eastAsia="fr-FR"/>
              </w:rPr>
              <w:t xml:space="preserve">  36 </w:t>
            </w:r>
            <w:r w:rsidRPr="0067311A">
              <w:rPr>
                <w:rFonts w:ascii="Calibri" w:eastAsia="Times New Roman" w:hAnsi="Calibri" w:cs="Calibri" w:hint="cs"/>
                <w:color w:val="000000"/>
                <w:rtl/>
                <w:lang w:eastAsia="fr-FR"/>
              </w:rPr>
              <w:t>129</w:t>
            </w:r>
          </w:p>
        </w:tc>
        <w:tc>
          <w:tcPr>
            <w:tcW w:w="1200" w:type="dxa"/>
            <w:noWrap/>
            <w:hideMark/>
          </w:tcPr>
          <w:p w:rsidR="009B2C6A" w:rsidRPr="0067311A" w:rsidRDefault="009B2C6A" w:rsidP="00FC334A">
            <w:pPr>
              <w:spacing w:before="60" w:after="60"/>
              <w:jc w:val="center"/>
              <w:cnfStyle w:val="000000000000"/>
              <w:rPr>
                <w:rFonts w:ascii="Calibri" w:eastAsia="Times New Roman" w:hAnsi="Calibri" w:cs="Calibri"/>
                <w:color w:val="000000"/>
                <w:lang w:eastAsia="fr-FR"/>
              </w:rPr>
            </w:pPr>
            <w:r w:rsidRPr="0067311A">
              <w:rPr>
                <w:rFonts w:ascii="Calibri" w:eastAsia="Times New Roman" w:hAnsi="Calibri" w:cs="Calibri"/>
                <w:color w:val="000000"/>
                <w:lang w:eastAsia="fr-FR"/>
              </w:rPr>
              <w:t>1</w:t>
            </w:r>
            <w:r w:rsidRPr="0067311A">
              <w:rPr>
                <w:rFonts w:ascii="Calibri" w:eastAsia="Times New Roman" w:hAnsi="Calibri" w:cs="Calibri" w:hint="cs"/>
                <w:color w:val="000000"/>
                <w:rtl/>
                <w:lang w:eastAsia="fr-FR"/>
              </w:rPr>
              <w:t>6559</w:t>
            </w:r>
          </w:p>
        </w:tc>
        <w:tc>
          <w:tcPr>
            <w:tcW w:w="3753" w:type="dxa"/>
            <w:noWrap/>
            <w:hideMark/>
          </w:tcPr>
          <w:p w:rsidR="009B2C6A" w:rsidRPr="0067311A" w:rsidRDefault="009B2C6A" w:rsidP="00FC334A">
            <w:pPr>
              <w:bidi/>
              <w:spacing w:before="60" w:after="60"/>
              <w:cnfStyle w:val="000000000000"/>
              <w:rPr>
                <w:rFonts w:ascii="Calibri" w:eastAsia="Times New Roman" w:hAnsi="Calibri" w:cs="Calibri"/>
                <w:color w:val="000000"/>
                <w:lang w:eastAsia="fr-FR"/>
              </w:rPr>
            </w:pPr>
            <w:r w:rsidRPr="0067311A">
              <w:rPr>
                <w:rFonts w:ascii="Calibri" w:eastAsia="Times New Roman" w:hAnsi="Calibri" w:cs="Calibri"/>
                <w:color w:val="000000"/>
                <w:rtl/>
                <w:lang w:eastAsia="fr-FR"/>
              </w:rPr>
              <w:t xml:space="preserve">15 - 59 </w:t>
            </w:r>
            <w:proofErr w:type="gramStart"/>
            <w:r w:rsidRPr="0067311A">
              <w:rPr>
                <w:rFonts w:ascii="Calibri" w:eastAsia="Times New Roman" w:hAnsi="Calibri" w:cs="Calibri"/>
                <w:color w:val="000000"/>
                <w:rtl/>
                <w:lang w:eastAsia="fr-FR"/>
              </w:rPr>
              <w:t>سنة</w:t>
            </w:r>
            <w:proofErr w:type="gramEnd"/>
          </w:p>
        </w:tc>
      </w:tr>
      <w:tr w:rsidR="009B2C6A" w:rsidRPr="0067311A" w:rsidTr="00FC334A">
        <w:trPr>
          <w:cnfStyle w:val="000000100000"/>
          <w:trHeight w:val="315"/>
          <w:jc w:val="center"/>
        </w:trPr>
        <w:tc>
          <w:tcPr>
            <w:cnfStyle w:val="001000000000"/>
            <w:tcW w:w="1360" w:type="dxa"/>
            <w:noWrap/>
            <w:hideMark/>
          </w:tcPr>
          <w:p w:rsidR="009B2C6A" w:rsidRPr="0067311A" w:rsidRDefault="009B2C6A" w:rsidP="00FC334A">
            <w:pPr>
              <w:spacing w:before="60" w:after="60"/>
              <w:jc w:val="center"/>
              <w:rPr>
                <w:rFonts w:ascii="Calibri" w:eastAsia="Times New Roman" w:hAnsi="Calibri" w:cs="Calibri"/>
                <w:color w:val="000000"/>
                <w:rtl/>
                <w:lang w:eastAsia="fr-FR"/>
              </w:rPr>
            </w:pPr>
            <w:r w:rsidRPr="0067311A">
              <w:rPr>
                <w:rFonts w:ascii="Calibri" w:eastAsia="Times New Roman" w:hAnsi="Calibri" w:cs="Calibri" w:hint="cs"/>
                <w:color w:val="000000"/>
                <w:rtl/>
                <w:lang w:eastAsia="fr-FR"/>
              </w:rPr>
              <w:t>2</w:t>
            </w:r>
            <w:r w:rsidRPr="0067311A">
              <w:rPr>
                <w:rFonts w:ascii="Calibri" w:eastAsia="Times New Roman" w:hAnsi="Calibri" w:cs="Calibri"/>
                <w:color w:val="000000"/>
                <w:lang w:eastAsia="fr-FR"/>
              </w:rPr>
              <w:t>,</w:t>
            </w:r>
            <w:r w:rsidRPr="0067311A">
              <w:rPr>
                <w:rFonts w:ascii="Calibri" w:eastAsia="Times New Roman" w:hAnsi="Calibri" w:cs="Calibri" w:hint="cs"/>
                <w:color w:val="000000"/>
                <w:rtl/>
                <w:lang w:eastAsia="fr-FR"/>
              </w:rPr>
              <w:t>88</w:t>
            </w:r>
          </w:p>
        </w:tc>
        <w:tc>
          <w:tcPr>
            <w:tcW w:w="1200" w:type="dxa"/>
            <w:noWrap/>
            <w:hideMark/>
          </w:tcPr>
          <w:p w:rsidR="009B2C6A" w:rsidRPr="0067311A" w:rsidRDefault="009B2C6A" w:rsidP="00FC334A">
            <w:pPr>
              <w:spacing w:before="60" w:after="60"/>
              <w:jc w:val="center"/>
              <w:cnfStyle w:val="000000100000"/>
              <w:rPr>
                <w:rFonts w:ascii="Calibri" w:eastAsia="Times New Roman" w:hAnsi="Calibri" w:cs="Calibri"/>
                <w:color w:val="000000"/>
                <w:lang w:eastAsia="fr-FR"/>
              </w:rPr>
            </w:pPr>
            <w:r w:rsidRPr="0067311A">
              <w:rPr>
                <w:rFonts w:ascii="Calibri" w:eastAsia="Times New Roman" w:hAnsi="Calibri" w:cs="Calibri"/>
                <w:color w:val="000000"/>
                <w:lang w:eastAsia="fr-FR"/>
              </w:rPr>
              <w:t xml:space="preserve">3 063 </w:t>
            </w:r>
          </w:p>
        </w:tc>
        <w:tc>
          <w:tcPr>
            <w:tcW w:w="1200" w:type="dxa"/>
            <w:noWrap/>
            <w:hideMark/>
          </w:tcPr>
          <w:p w:rsidR="009B2C6A" w:rsidRPr="0067311A" w:rsidRDefault="009B2C6A" w:rsidP="00FC334A">
            <w:pPr>
              <w:spacing w:before="60" w:after="60"/>
              <w:jc w:val="center"/>
              <w:cnfStyle w:val="000000100000"/>
              <w:rPr>
                <w:rFonts w:ascii="Calibri" w:eastAsia="Times New Roman" w:hAnsi="Calibri" w:cs="Calibri"/>
                <w:color w:val="000000"/>
                <w:lang w:eastAsia="fr-FR"/>
              </w:rPr>
            </w:pPr>
            <w:r w:rsidRPr="0067311A">
              <w:rPr>
                <w:rFonts w:ascii="Calibri" w:eastAsia="Times New Roman" w:hAnsi="Calibri" w:cs="Calibri" w:hint="cs"/>
                <w:color w:val="000000"/>
                <w:rtl/>
                <w:lang w:eastAsia="fr-FR"/>
              </w:rPr>
              <w:t>2251</w:t>
            </w:r>
          </w:p>
        </w:tc>
        <w:tc>
          <w:tcPr>
            <w:tcW w:w="3753" w:type="dxa"/>
            <w:noWrap/>
            <w:hideMark/>
          </w:tcPr>
          <w:p w:rsidR="009B2C6A" w:rsidRPr="0067311A" w:rsidRDefault="009B2C6A" w:rsidP="00FC334A">
            <w:pPr>
              <w:bidi/>
              <w:spacing w:before="60" w:after="60"/>
              <w:cnfStyle w:val="000000100000"/>
              <w:rPr>
                <w:rFonts w:ascii="Calibri" w:eastAsia="Times New Roman" w:hAnsi="Calibri" w:cs="Calibri"/>
                <w:color w:val="000000"/>
                <w:lang w:eastAsia="fr-FR"/>
              </w:rPr>
            </w:pPr>
            <w:r w:rsidRPr="0067311A">
              <w:rPr>
                <w:rFonts w:ascii="Calibri" w:eastAsia="Times New Roman" w:hAnsi="Calibri" w:cs="Calibri"/>
                <w:color w:val="000000"/>
                <w:rtl/>
                <w:lang w:eastAsia="fr-FR"/>
              </w:rPr>
              <w:t>أكثر من 60 سنة</w:t>
            </w:r>
          </w:p>
        </w:tc>
      </w:tr>
      <w:tr w:rsidR="009B2C6A" w:rsidRPr="0067311A" w:rsidTr="00FC334A">
        <w:trPr>
          <w:trHeight w:val="315"/>
          <w:jc w:val="center"/>
        </w:trPr>
        <w:tc>
          <w:tcPr>
            <w:cnfStyle w:val="001000000000"/>
            <w:tcW w:w="1360" w:type="dxa"/>
            <w:noWrap/>
            <w:hideMark/>
          </w:tcPr>
          <w:p w:rsidR="009B2C6A" w:rsidRPr="0067311A" w:rsidRDefault="009B2C6A" w:rsidP="00FC334A">
            <w:pPr>
              <w:spacing w:before="60" w:after="60"/>
              <w:jc w:val="center"/>
              <w:rPr>
                <w:rFonts w:ascii="Calibri" w:eastAsia="Times New Roman" w:hAnsi="Calibri" w:cs="Calibri"/>
                <w:color w:val="000000"/>
                <w:rtl/>
                <w:lang w:eastAsia="fr-FR"/>
              </w:rPr>
            </w:pPr>
            <w:r w:rsidRPr="0067311A">
              <w:rPr>
                <w:rFonts w:ascii="Calibri" w:eastAsia="Times New Roman" w:hAnsi="Calibri" w:cs="Calibri" w:hint="cs"/>
                <w:color w:val="000000"/>
                <w:rtl/>
                <w:lang w:eastAsia="fr-FR"/>
              </w:rPr>
              <w:t>6</w:t>
            </w:r>
            <w:r w:rsidRPr="0067311A">
              <w:rPr>
                <w:rFonts w:ascii="Calibri" w:eastAsia="Times New Roman" w:hAnsi="Calibri" w:cs="Calibri"/>
                <w:color w:val="000000"/>
                <w:lang w:eastAsia="fr-FR"/>
              </w:rPr>
              <w:t>,</w:t>
            </w:r>
            <w:r w:rsidRPr="0067311A">
              <w:rPr>
                <w:rFonts w:ascii="Calibri" w:eastAsia="Times New Roman" w:hAnsi="Calibri" w:cs="Calibri" w:hint="cs"/>
                <w:color w:val="000000"/>
                <w:rtl/>
                <w:lang w:eastAsia="fr-FR"/>
              </w:rPr>
              <w:t>70</w:t>
            </w:r>
          </w:p>
        </w:tc>
        <w:tc>
          <w:tcPr>
            <w:tcW w:w="1200" w:type="dxa"/>
            <w:noWrap/>
            <w:hideMark/>
          </w:tcPr>
          <w:p w:rsidR="009B2C6A" w:rsidRPr="0067311A" w:rsidRDefault="009B2C6A" w:rsidP="00FC334A">
            <w:pPr>
              <w:spacing w:before="60" w:after="60"/>
              <w:jc w:val="center"/>
              <w:cnfStyle w:val="000000000000"/>
              <w:rPr>
                <w:rFonts w:ascii="Calibri" w:eastAsia="Times New Roman" w:hAnsi="Calibri" w:cs="Calibri"/>
                <w:color w:val="000000"/>
                <w:lang w:eastAsia="fr-FR"/>
              </w:rPr>
            </w:pPr>
            <w:r w:rsidRPr="0067311A">
              <w:rPr>
                <w:rFonts w:ascii="Calibri" w:eastAsia="Times New Roman" w:hAnsi="Calibri" w:cs="Calibri"/>
                <w:color w:val="000000"/>
                <w:lang w:eastAsia="fr-FR"/>
              </w:rPr>
              <w:t xml:space="preserve">57 </w:t>
            </w:r>
            <w:r w:rsidRPr="0067311A">
              <w:rPr>
                <w:rFonts w:ascii="Calibri" w:eastAsia="Times New Roman" w:hAnsi="Calibri" w:cs="Calibri" w:hint="cs"/>
                <w:color w:val="000000"/>
                <w:rtl/>
                <w:lang w:eastAsia="fr-FR"/>
              </w:rPr>
              <w:t>792</w:t>
            </w:r>
          </w:p>
        </w:tc>
        <w:tc>
          <w:tcPr>
            <w:tcW w:w="1200" w:type="dxa"/>
            <w:noWrap/>
            <w:hideMark/>
          </w:tcPr>
          <w:p w:rsidR="009B2C6A" w:rsidRPr="0067311A" w:rsidRDefault="009B2C6A" w:rsidP="00FC334A">
            <w:pPr>
              <w:spacing w:before="60" w:after="60"/>
              <w:jc w:val="center"/>
              <w:cnfStyle w:val="000000000000"/>
              <w:rPr>
                <w:rFonts w:ascii="Calibri" w:eastAsia="Times New Roman" w:hAnsi="Calibri" w:cs="Calibri"/>
                <w:color w:val="000000"/>
                <w:lang w:eastAsia="fr-FR"/>
              </w:rPr>
            </w:pPr>
            <w:r w:rsidRPr="0067311A">
              <w:rPr>
                <w:rFonts w:ascii="Calibri" w:eastAsia="Times New Roman" w:hAnsi="Calibri" w:cs="Calibri"/>
                <w:color w:val="000000"/>
                <w:lang w:eastAsia="fr-FR"/>
              </w:rPr>
              <w:t>2</w:t>
            </w:r>
            <w:r w:rsidRPr="0067311A">
              <w:rPr>
                <w:rFonts w:ascii="Calibri" w:eastAsia="Times New Roman" w:hAnsi="Calibri" w:cs="Calibri" w:hint="cs"/>
                <w:color w:val="000000"/>
                <w:rtl/>
                <w:lang w:eastAsia="fr-FR"/>
              </w:rPr>
              <w:t>8</w:t>
            </w:r>
            <w:r w:rsidRPr="0067311A">
              <w:rPr>
                <w:rFonts w:ascii="Calibri" w:eastAsia="Times New Roman" w:hAnsi="Calibri" w:cs="Calibri"/>
                <w:color w:val="000000"/>
                <w:lang w:eastAsia="fr-FR"/>
              </w:rPr>
              <w:t xml:space="preserve"> 773 </w:t>
            </w:r>
          </w:p>
        </w:tc>
        <w:tc>
          <w:tcPr>
            <w:tcW w:w="3753" w:type="dxa"/>
            <w:noWrap/>
            <w:hideMark/>
          </w:tcPr>
          <w:p w:rsidR="009B2C6A" w:rsidRPr="0067311A" w:rsidRDefault="009B2C6A" w:rsidP="00FC334A">
            <w:pPr>
              <w:bidi/>
              <w:spacing w:before="60" w:after="60"/>
              <w:jc w:val="center"/>
              <w:cnfStyle w:val="000000000000"/>
              <w:rPr>
                <w:rFonts w:ascii="Calibri" w:eastAsia="Times New Roman" w:hAnsi="Calibri" w:cs="Calibri"/>
                <w:b/>
                <w:bCs/>
                <w:color w:val="000000"/>
                <w:lang w:eastAsia="fr-FR"/>
              </w:rPr>
            </w:pPr>
            <w:proofErr w:type="gramStart"/>
            <w:r w:rsidRPr="0067311A">
              <w:rPr>
                <w:rFonts w:ascii="Calibri" w:eastAsia="Times New Roman" w:hAnsi="Calibri" w:cs="Calibri"/>
                <w:b/>
                <w:bCs/>
                <w:color w:val="000000"/>
                <w:rtl/>
                <w:lang w:eastAsia="fr-FR"/>
              </w:rPr>
              <w:t>المجموع</w:t>
            </w:r>
            <w:proofErr w:type="gramEnd"/>
          </w:p>
        </w:tc>
      </w:tr>
    </w:tbl>
    <w:p w:rsidR="009B2C6A" w:rsidRPr="0067311A" w:rsidRDefault="009B2C6A" w:rsidP="009B2C6A">
      <w:pPr>
        <w:bidi/>
        <w:spacing w:before="120" w:after="120" w:line="360" w:lineRule="auto"/>
        <w:jc w:val="both"/>
        <w:rPr>
          <w:rFonts w:cstheme="minorHAnsi"/>
          <w:rtl/>
        </w:rPr>
      </w:pPr>
      <w:r w:rsidRPr="0067311A">
        <w:rPr>
          <w:rFonts w:cstheme="minorHAnsi" w:hint="cs"/>
          <w:rtl/>
        </w:rPr>
        <w:t xml:space="preserve">فيما يخص توزيع السكان حسب الفئات العمرية، واستنادا دائما لمعطيات إحصاء 2014، تتميز ساكنة جماعة سيدي يحيى </w:t>
      </w:r>
      <w:proofErr w:type="spellStart"/>
      <w:r w:rsidRPr="0067311A">
        <w:rPr>
          <w:rFonts w:cstheme="minorHAnsi" w:hint="cs"/>
          <w:rtl/>
        </w:rPr>
        <w:t>زعير</w:t>
      </w:r>
      <w:proofErr w:type="spellEnd"/>
      <w:r w:rsidRPr="0067311A">
        <w:rPr>
          <w:rFonts w:cstheme="minorHAnsi" w:hint="cs"/>
          <w:rtl/>
        </w:rPr>
        <w:t xml:space="preserve"> بسيادة الفئة الشابة، إذ تمثل هذه الأخيرة (فئة أقل من 25 سنة) ما يقرب 48,9% من مجموع ساكنة الجماعة. الفئة العمرية في سن </w:t>
      </w:r>
      <w:proofErr w:type="spellStart"/>
      <w:r w:rsidRPr="0067311A">
        <w:rPr>
          <w:rFonts w:cstheme="minorHAnsi" w:hint="cs"/>
          <w:rtl/>
        </w:rPr>
        <w:t>التمدرس</w:t>
      </w:r>
      <w:proofErr w:type="spellEnd"/>
      <w:r w:rsidRPr="0067311A">
        <w:rPr>
          <w:rFonts w:cstheme="minorHAnsi" w:hint="cs"/>
          <w:rtl/>
        </w:rPr>
        <w:t xml:space="preserve">، أي فئة السكان ما بين 6 إلى 24 سنة يمثلون ما يقارب 36,7% من مجموع سكان الجماعة. وتجدر الإشارة، إلى أن أهمية نسبة هذه الفئة العمرية داخل سكان الجماعة، يدفعنا إلى طرح السؤال حول الجهود التي يجب بذلها من طرف </w:t>
      </w:r>
      <w:proofErr w:type="spellStart"/>
      <w:r w:rsidRPr="0067311A">
        <w:rPr>
          <w:rFonts w:cstheme="minorHAnsi" w:hint="cs"/>
          <w:rtl/>
        </w:rPr>
        <w:t>المسؤولين</w:t>
      </w:r>
      <w:proofErr w:type="spellEnd"/>
      <w:r w:rsidRPr="0067311A">
        <w:rPr>
          <w:rFonts w:cstheme="minorHAnsi" w:hint="cs"/>
          <w:rtl/>
        </w:rPr>
        <w:t xml:space="preserve"> على مستوى الجماعة في ميدان </w:t>
      </w:r>
      <w:proofErr w:type="spellStart"/>
      <w:r w:rsidRPr="0067311A">
        <w:rPr>
          <w:rFonts w:cstheme="minorHAnsi" w:hint="cs"/>
          <w:rtl/>
        </w:rPr>
        <w:t>التمدرس</w:t>
      </w:r>
      <w:proofErr w:type="spellEnd"/>
      <w:r w:rsidRPr="0067311A">
        <w:rPr>
          <w:rFonts w:cstheme="minorHAnsi" w:hint="cs"/>
          <w:rtl/>
        </w:rPr>
        <w:t xml:space="preserve"> والتكوين المهني.</w:t>
      </w:r>
    </w:p>
    <w:p w:rsidR="009B2C6A" w:rsidRPr="0067311A" w:rsidRDefault="009B2C6A" w:rsidP="009B2C6A">
      <w:pPr>
        <w:bidi/>
        <w:spacing w:before="120" w:after="120" w:line="360" w:lineRule="auto"/>
        <w:jc w:val="both"/>
        <w:rPr>
          <w:rFonts w:cstheme="minorHAnsi"/>
        </w:rPr>
      </w:pPr>
      <w:r w:rsidRPr="0067311A">
        <w:rPr>
          <w:rFonts w:cstheme="minorHAnsi" w:hint="cs"/>
          <w:rtl/>
        </w:rPr>
        <w:t>أما فئة السكان النشيطين، أي الفئة العمرية ما بين 25 و59 سنة فتمثل نسبة جد مهمة داخل سكان الجماعة، أكثر من 45% من مجموع السكان، وهو ما يدفعنا إلى طرح السؤال حول فرص تطوير وتنويع الأنشطة الاقتصادية داخل الجماعة وإحداث فرص الشغل لهده الفئة النشيطة.</w:t>
      </w:r>
    </w:p>
    <w:p w:rsidR="009B2C6A" w:rsidRPr="002A2895" w:rsidRDefault="009B2C6A" w:rsidP="009B2C6A">
      <w:pPr>
        <w:pStyle w:val="Lgende"/>
        <w:keepNext/>
        <w:bidi/>
        <w:spacing w:before="120" w:after="120"/>
        <w:jc w:val="center"/>
        <w:rPr>
          <w:rFonts w:cstheme="minorHAnsi"/>
          <w:i w:val="0"/>
          <w:iCs w:val="0"/>
          <w:color w:val="auto"/>
          <w:sz w:val="22"/>
          <w:szCs w:val="22"/>
          <w:u w:val="single"/>
        </w:rPr>
      </w:pPr>
      <w:bookmarkStart w:id="10" w:name="_Toc116397898"/>
      <w:bookmarkStart w:id="11" w:name="_Toc117810834"/>
      <w:proofErr w:type="spellStart"/>
      <w:r w:rsidRPr="002A2895">
        <w:rPr>
          <w:rFonts w:cstheme="minorHAnsi"/>
          <w:i w:val="0"/>
          <w:iCs w:val="0"/>
          <w:color w:val="auto"/>
          <w:sz w:val="22"/>
          <w:szCs w:val="22"/>
          <w:u w:val="single"/>
          <w:rtl/>
        </w:rPr>
        <w:t>مبيان</w:t>
      </w:r>
      <w:proofErr w:type="spellEnd"/>
      <w:r w:rsidRPr="002A2895">
        <w:rPr>
          <w:rFonts w:cstheme="minorHAnsi"/>
          <w:i w:val="0"/>
          <w:iCs w:val="0"/>
          <w:color w:val="auto"/>
          <w:sz w:val="22"/>
          <w:szCs w:val="22"/>
          <w:u w:val="single"/>
        </w:rPr>
        <w:fldChar w:fldCharType="begin"/>
      </w:r>
      <w:r w:rsidRPr="002A2895">
        <w:rPr>
          <w:rFonts w:cstheme="minorHAnsi"/>
          <w:i w:val="0"/>
          <w:iCs w:val="0"/>
          <w:color w:val="auto"/>
          <w:sz w:val="22"/>
          <w:szCs w:val="22"/>
          <w:u w:val="single"/>
        </w:rPr>
        <w:instrText xml:space="preserve"> SEQ </w:instrText>
      </w:r>
      <w:r w:rsidRPr="002A2895">
        <w:rPr>
          <w:rFonts w:cstheme="minorHAnsi"/>
          <w:i w:val="0"/>
          <w:iCs w:val="0"/>
          <w:color w:val="auto"/>
          <w:sz w:val="22"/>
          <w:szCs w:val="22"/>
          <w:u w:val="single"/>
          <w:rtl/>
        </w:rPr>
        <w:instrText>مبيان</w:instrText>
      </w:r>
      <w:r w:rsidRPr="002A2895">
        <w:rPr>
          <w:rFonts w:cstheme="minorHAnsi"/>
          <w:i w:val="0"/>
          <w:iCs w:val="0"/>
          <w:color w:val="auto"/>
          <w:sz w:val="22"/>
          <w:szCs w:val="22"/>
          <w:u w:val="single"/>
        </w:rPr>
        <w:instrText xml:space="preserve"> \* ARABIC </w:instrText>
      </w:r>
      <w:r w:rsidRPr="002A2895">
        <w:rPr>
          <w:rFonts w:cstheme="minorHAnsi"/>
          <w:i w:val="0"/>
          <w:iCs w:val="0"/>
          <w:color w:val="auto"/>
          <w:sz w:val="22"/>
          <w:szCs w:val="22"/>
          <w:u w:val="single"/>
        </w:rPr>
        <w:fldChar w:fldCharType="separate"/>
      </w:r>
      <w:r>
        <w:rPr>
          <w:rFonts w:cstheme="minorHAnsi"/>
          <w:i w:val="0"/>
          <w:iCs w:val="0"/>
          <w:noProof/>
          <w:color w:val="auto"/>
          <w:sz w:val="22"/>
          <w:szCs w:val="22"/>
          <w:u w:val="single"/>
        </w:rPr>
        <w:t>5</w:t>
      </w:r>
      <w:r w:rsidRPr="002A2895">
        <w:rPr>
          <w:rFonts w:cstheme="minorHAnsi"/>
          <w:i w:val="0"/>
          <w:iCs w:val="0"/>
          <w:color w:val="auto"/>
          <w:sz w:val="22"/>
          <w:szCs w:val="22"/>
          <w:u w:val="single"/>
        </w:rPr>
        <w:fldChar w:fldCharType="end"/>
      </w:r>
      <w:r w:rsidRPr="002A2895">
        <w:rPr>
          <w:rFonts w:cstheme="minorHAnsi" w:hint="cs"/>
          <w:i w:val="0"/>
          <w:iCs w:val="0"/>
          <w:color w:val="auto"/>
          <w:sz w:val="22"/>
          <w:szCs w:val="22"/>
          <w:u w:val="single"/>
          <w:rtl/>
        </w:rPr>
        <w:t>: هرم الأعمار بالجماعة حسب نتائج إحصاء 2014</w:t>
      </w:r>
      <w:bookmarkEnd w:id="10"/>
      <w:bookmarkEnd w:id="11"/>
    </w:p>
    <w:p w:rsidR="009B2C6A" w:rsidRPr="00270EFC" w:rsidRDefault="009B2C6A" w:rsidP="00270EFC">
      <w:pPr>
        <w:bidi/>
        <w:spacing w:before="100" w:beforeAutospacing="1" w:after="100" w:afterAutospacing="1" w:line="360" w:lineRule="auto"/>
        <w:jc w:val="center"/>
        <w:rPr>
          <w:rFonts w:cstheme="minorHAnsi"/>
          <w:sz w:val="24"/>
          <w:szCs w:val="24"/>
          <w:rtl/>
        </w:rPr>
        <w:sectPr w:rsidR="009B2C6A" w:rsidRPr="00270EFC" w:rsidSect="009B2C6A">
          <w:pgSz w:w="11906" w:h="16838"/>
          <w:pgMar w:top="568" w:right="1417" w:bottom="1417" w:left="1417" w:header="708" w:footer="708" w:gutter="0"/>
          <w:cols w:space="708"/>
          <w:titlePg/>
          <w:docGrid w:linePitch="360"/>
        </w:sectPr>
      </w:pPr>
      <w:r>
        <w:rPr>
          <w:noProof/>
        </w:rPr>
        <w:drawing>
          <wp:inline distT="0" distB="0" distL="0" distR="0">
            <wp:extent cx="4094922" cy="2425148"/>
            <wp:effectExtent l="19050" t="0" r="19878" b="0"/>
            <wp:docPr id="9" name="Graphique 9">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01229" w:rsidRDefault="00301229" w:rsidP="009B2C6A">
      <w:pPr>
        <w:bidi/>
      </w:pPr>
    </w:p>
    <w:sectPr w:rsidR="00301229" w:rsidSect="009B2C6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977C3"/>
    <w:multiLevelType w:val="hybridMultilevel"/>
    <w:tmpl w:val="A37EC9F2"/>
    <w:lvl w:ilvl="0" w:tplc="D5968EA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58A0F1C"/>
    <w:multiLevelType w:val="multilevel"/>
    <w:tmpl w:val="5C3A8B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9B2C6A"/>
    <w:rsid w:val="00270EFC"/>
    <w:rsid w:val="00301229"/>
    <w:rsid w:val="0067311A"/>
    <w:rsid w:val="009B2C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Numbered list,Table of contents numbered,Normal 1,References,Paragraphe de liste du rapport,List Paragraph,List ParagraphCxSpLast,List ParagraphCxSpLastCxSpLast,List ParagraphCxSpLastCxSpLastCxSpLast,Paragraphe de liste1,Texte-Nelite"/>
    <w:basedOn w:val="Normal"/>
    <w:link w:val="ParagraphedelisteCar"/>
    <w:uiPriority w:val="34"/>
    <w:qFormat/>
    <w:rsid w:val="009B2C6A"/>
    <w:pPr>
      <w:spacing w:after="160" w:line="259" w:lineRule="auto"/>
      <w:ind w:left="720"/>
      <w:contextualSpacing/>
    </w:pPr>
    <w:rPr>
      <w:rFonts w:eastAsiaTheme="minorHAnsi"/>
      <w:lang w:eastAsia="en-US"/>
    </w:rPr>
  </w:style>
  <w:style w:type="character" w:customStyle="1" w:styleId="ParagraphedelisteCar">
    <w:name w:val="Paragraphe de liste Car"/>
    <w:aliases w:val="Numbered list Car,Table of contents numbered Car,Normal 1 Car,References Car,Paragraphe de liste du rapport Car,List Paragraph Car,List ParagraphCxSpLast Car,List ParagraphCxSpLastCxSpLast Car,Paragraphe de liste1 Car"/>
    <w:link w:val="Paragraphedeliste"/>
    <w:uiPriority w:val="34"/>
    <w:qFormat/>
    <w:locked/>
    <w:rsid w:val="009B2C6A"/>
    <w:rPr>
      <w:rFonts w:eastAsiaTheme="minorHAnsi"/>
      <w:lang w:eastAsia="en-US"/>
    </w:rPr>
  </w:style>
  <w:style w:type="table" w:customStyle="1" w:styleId="TableauGrille2-Accentuation11">
    <w:name w:val="Tableau Grille 2 - Accentuation 11"/>
    <w:basedOn w:val="TableauNormal"/>
    <w:uiPriority w:val="47"/>
    <w:rsid w:val="009B2C6A"/>
    <w:pPr>
      <w:spacing w:after="0" w:line="240" w:lineRule="auto"/>
    </w:pPr>
    <w:rPr>
      <w:rFonts w:eastAsiaTheme="minorHAnsi"/>
      <w:lang w:eastAsia="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Grille2-Accentuation51">
    <w:name w:val="Tableau Grille 2 - Accentuation 51"/>
    <w:basedOn w:val="TableauNormal"/>
    <w:uiPriority w:val="47"/>
    <w:rsid w:val="009B2C6A"/>
    <w:pPr>
      <w:spacing w:after="0" w:line="240" w:lineRule="auto"/>
    </w:pPr>
    <w:rPr>
      <w:rFonts w:eastAsiaTheme="minorHAnsi"/>
      <w:lang w:eastAsia="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Lgende">
    <w:name w:val="caption"/>
    <w:basedOn w:val="Normal"/>
    <w:next w:val="Normal"/>
    <w:uiPriority w:val="35"/>
    <w:unhideWhenUsed/>
    <w:qFormat/>
    <w:rsid w:val="009B2C6A"/>
    <w:pPr>
      <w:spacing w:line="240" w:lineRule="auto"/>
    </w:pPr>
    <w:rPr>
      <w:rFonts w:eastAsiaTheme="minorHAnsi"/>
      <w:i/>
      <w:iCs/>
      <w:color w:val="1F497D" w:themeColor="text2"/>
      <w:sz w:val="18"/>
      <w:szCs w:val="18"/>
      <w:lang w:eastAsia="en-US"/>
    </w:rPr>
  </w:style>
  <w:style w:type="paragraph" w:styleId="Textedebulles">
    <w:name w:val="Balloon Text"/>
    <w:basedOn w:val="Normal"/>
    <w:link w:val="TextedebullesCar"/>
    <w:uiPriority w:val="99"/>
    <w:semiHidden/>
    <w:unhideWhenUsed/>
    <w:rsid w:val="009B2C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2C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Nouveau%20dossier\PCD%20SYZ\graphes%20SYZ.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ownloads\Classeur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lineChart>
        <c:grouping val="stacked"/>
        <c:ser>
          <c:idx val="0"/>
          <c:order val="0"/>
          <c:tx>
            <c:strRef>
              <c:f>Feuil3!$E$7</c:f>
              <c:strCache>
                <c:ptCount val="1"/>
                <c:pt idx="0">
                  <c:v>الجماعة </c:v>
                </c:pt>
              </c:strCache>
            </c:strRef>
          </c:tx>
          <c:spPr>
            <a:ln w="31750" cap="rnd">
              <a:solidFill>
                <a:schemeClr val="accent1"/>
              </a:solidFill>
              <a:round/>
            </a:ln>
            <a:effectLst/>
          </c:spPr>
          <c:marker>
            <c:symbol val="circle"/>
            <c:size val="17"/>
            <c:spPr>
              <a:solidFill>
                <a:schemeClr val="accent1"/>
              </a:solidFill>
              <a:ln>
                <a:noFill/>
              </a:ln>
              <a:effectLst/>
            </c:spPr>
          </c:marker>
          <c:dLbls>
            <c:dLbl>
              <c:idx val="0"/>
              <c:layout>
                <c:manualLayout>
                  <c:x val="-0.17288210848643931"/>
                  <c:y val="-4.1666666666666664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F5D-48E1-BA06-42744D4ABE1A}"/>
                </c:ext>
              </c:extLst>
            </c:dLbl>
            <c:dLbl>
              <c:idx val="1"/>
              <c:layout>
                <c:manualLayout>
                  <c:x val="2.1178915135607042E-3"/>
                  <c:y val="5.5555555555555504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F5D-48E1-BA06-42744D4ABE1A}"/>
                </c:ext>
              </c:extLst>
            </c:dLbl>
            <c:dLbl>
              <c:idx val="2"/>
              <c:layout>
                <c:manualLayout>
                  <c:x val="-7.2882108486439293E-2"/>
                  <c:y val="-9.2592592592592754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F5D-48E1-BA06-42744D4ABE1A}"/>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rgbClr val="C00000"/>
                    </a:solidFill>
                    <a:latin typeface="+mn-lt"/>
                    <a:ea typeface="+mn-ea"/>
                    <a:cs typeface="+mn-cs"/>
                  </a:defRPr>
                </a:pPr>
                <a:endParaRPr lang="fr-FR"/>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Feuil3!$F$6:$H$6</c:f>
              <c:numCache>
                <c:formatCode>General</c:formatCode>
                <c:ptCount val="3"/>
                <c:pt idx="0">
                  <c:v>2004</c:v>
                </c:pt>
                <c:pt idx="1">
                  <c:v>2014</c:v>
                </c:pt>
                <c:pt idx="2">
                  <c:v>2020</c:v>
                </c:pt>
              </c:numCache>
            </c:numRef>
          </c:cat>
          <c:val>
            <c:numRef>
              <c:f>Feuil3!$F$7:$H$7</c:f>
              <c:numCache>
                <c:formatCode>General</c:formatCode>
                <c:ptCount val="3"/>
                <c:pt idx="0">
                  <c:v>28773</c:v>
                </c:pt>
                <c:pt idx="1">
                  <c:v>57792</c:v>
                </c:pt>
                <c:pt idx="2">
                  <c:v>73970</c:v>
                </c:pt>
              </c:numCache>
            </c:numRef>
          </c:val>
          <c:extLst xmlns:c16r2="http://schemas.microsoft.com/office/drawing/2015/06/chart">
            <c:ext xmlns:c16="http://schemas.microsoft.com/office/drawing/2014/chart" uri="{C3380CC4-5D6E-409C-BE32-E72D297353CC}">
              <c16:uniqueId val="{00000003-CF5D-48E1-BA06-42744D4ABE1A}"/>
            </c:ext>
          </c:extLst>
        </c:ser>
        <c:dLbls>
          <c:showVal val="1"/>
        </c:dLbls>
        <c:marker val="1"/>
        <c:axId val="84327808"/>
        <c:axId val="96936320"/>
      </c:lineChart>
      <c:catAx>
        <c:axId val="84327808"/>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r-FR"/>
          </a:p>
        </c:txPr>
        <c:crossAx val="96936320"/>
        <c:crosses val="autoZero"/>
        <c:auto val="1"/>
        <c:lblAlgn val="ctr"/>
        <c:lblOffset val="100"/>
      </c:catAx>
      <c:valAx>
        <c:axId val="9693632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tickLblPos val="nextTo"/>
        <c:crossAx val="84327808"/>
        <c:crosses val="autoZero"/>
        <c:crossBetween val="between"/>
      </c:valAx>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solidFill>
        <a:schemeClr val="dk1">
          <a:lumMod val="25000"/>
          <a:lumOff val="75000"/>
        </a:schemeClr>
      </a:solidFill>
      <a:round/>
    </a:ln>
    <a:effectLst/>
  </c:spPr>
  <c:txPr>
    <a:bodyPr/>
    <a:lstStyle/>
    <a:p>
      <a:pPr>
        <a:defRPr/>
      </a:pPr>
      <a:endParaRPr lang="fr-F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bar"/>
        <c:grouping val="clustered"/>
        <c:ser>
          <c:idx val="0"/>
          <c:order val="0"/>
          <c:tx>
            <c:strRef>
              <c:f>Feuil2!$R$7</c:f>
              <c:strCache>
                <c:ptCount val="1"/>
                <c:pt idx="0">
                  <c:v>الاناث</c:v>
                </c:pt>
              </c:strCache>
            </c:strRef>
          </c:tx>
          <c:spPr>
            <a:solidFill>
              <a:schemeClr val="accent1"/>
            </a:solidFill>
            <a:ln>
              <a:noFill/>
            </a:ln>
            <a:effectLst/>
          </c:spPr>
          <c:cat>
            <c:strRef>
              <c:f>Feuil2!$Q$8:$Q$23</c:f>
              <c:strCache>
                <c:ptCount val="16"/>
                <c:pt idx="0">
                  <c:v>0 - 4</c:v>
                </c:pt>
                <c:pt idx="1">
                  <c:v>  5  -  9  </c:v>
                </c:pt>
                <c:pt idx="2">
                  <c:v>  4  -  14  </c:v>
                </c:pt>
                <c:pt idx="3">
                  <c:v>19  -  15</c:v>
                </c:pt>
                <c:pt idx="4">
                  <c:v>20  -  24</c:v>
                </c:pt>
                <c:pt idx="5">
                  <c:v>25  -  29</c:v>
                </c:pt>
                <c:pt idx="6">
                  <c:v>30  -  34</c:v>
                </c:pt>
                <c:pt idx="7">
                  <c:v>35  -  39</c:v>
                </c:pt>
                <c:pt idx="8">
                  <c:v>40  -  44</c:v>
                </c:pt>
                <c:pt idx="9">
                  <c:v>45  -  49</c:v>
                </c:pt>
                <c:pt idx="10">
                  <c:v>50  -  54</c:v>
                </c:pt>
                <c:pt idx="11">
                  <c:v>55  -  59</c:v>
                </c:pt>
                <c:pt idx="12">
                  <c:v>60  -  64</c:v>
                </c:pt>
                <c:pt idx="13">
                  <c:v>65  -  69</c:v>
                </c:pt>
                <c:pt idx="14">
                  <c:v>70  -  74</c:v>
                </c:pt>
                <c:pt idx="15">
                  <c:v>75 فأكثر</c:v>
                </c:pt>
              </c:strCache>
            </c:strRef>
          </c:cat>
          <c:val>
            <c:numRef>
              <c:f>Feuil2!$R$8:$R$23</c:f>
              <c:numCache>
                <c:formatCode>0</c:formatCode>
                <c:ptCount val="16"/>
                <c:pt idx="0">
                  <c:v>-3447.72</c:v>
                </c:pt>
                <c:pt idx="1">
                  <c:v>-2854.2599999999998</c:v>
                </c:pt>
                <c:pt idx="2">
                  <c:v>-2628.18</c:v>
                </c:pt>
                <c:pt idx="3">
                  <c:v>-2289.06</c:v>
                </c:pt>
                <c:pt idx="4">
                  <c:v>-2684.7</c:v>
                </c:pt>
                <c:pt idx="5">
                  <c:v>-2712.96</c:v>
                </c:pt>
                <c:pt idx="6">
                  <c:v>-2712.96</c:v>
                </c:pt>
                <c:pt idx="7">
                  <c:v>-2373.84</c:v>
                </c:pt>
                <c:pt idx="8">
                  <c:v>-1836.9</c:v>
                </c:pt>
                <c:pt idx="9">
                  <c:v>-1328.22</c:v>
                </c:pt>
                <c:pt idx="10">
                  <c:v>-1045.6199999999999</c:v>
                </c:pt>
                <c:pt idx="11">
                  <c:v>-734.76</c:v>
                </c:pt>
                <c:pt idx="12">
                  <c:v>-565.20000000000005</c:v>
                </c:pt>
                <c:pt idx="13">
                  <c:v>-339.12</c:v>
                </c:pt>
                <c:pt idx="14">
                  <c:v>-310.85999999999996</c:v>
                </c:pt>
                <c:pt idx="15">
                  <c:v>-395.64000000000021</c:v>
                </c:pt>
              </c:numCache>
            </c:numRef>
          </c:val>
          <c:extLst xmlns:c16r2="http://schemas.microsoft.com/office/drawing/2015/06/chart">
            <c:ext xmlns:c16="http://schemas.microsoft.com/office/drawing/2014/chart" uri="{C3380CC4-5D6E-409C-BE32-E72D297353CC}">
              <c16:uniqueId val="{00000000-C5ED-4182-9B45-85920CDB2686}"/>
            </c:ext>
          </c:extLst>
        </c:ser>
        <c:ser>
          <c:idx val="1"/>
          <c:order val="1"/>
          <c:tx>
            <c:strRef>
              <c:f>Feuil2!$S$7</c:f>
              <c:strCache>
                <c:ptCount val="1"/>
                <c:pt idx="0">
                  <c:v>الذكور</c:v>
                </c:pt>
              </c:strCache>
            </c:strRef>
          </c:tx>
          <c:spPr>
            <a:solidFill>
              <a:schemeClr val="accent2"/>
            </a:solidFill>
            <a:ln>
              <a:noFill/>
            </a:ln>
            <a:effectLst/>
          </c:spPr>
          <c:cat>
            <c:strRef>
              <c:f>Feuil2!$Q$8:$Q$23</c:f>
              <c:strCache>
                <c:ptCount val="16"/>
                <c:pt idx="0">
                  <c:v>0 - 4</c:v>
                </c:pt>
                <c:pt idx="1">
                  <c:v>  5  -  9  </c:v>
                </c:pt>
                <c:pt idx="2">
                  <c:v>  4  -  14  </c:v>
                </c:pt>
                <c:pt idx="3">
                  <c:v>19  -  15</c:v>
                </c:pt>
                <c:pt idx="4">
                  <c:v>20  -  24</c:v>
                </c:pt>
                <c:pt idx="5">
                  <c:v>25  -  29</c:v>
                </c:pt>
                <c:pt idx="6">
                  <c:v>30  -  34</c:v>
                </c:pt>
                <c:pt idx="7">
                  <c:v>35  -  39</c:v>
                </c:pt>
                <c:pt idx="8">
                  <c:v>40  -  44</c:v>
                </c:pt>
                <c:pt idx="9">
                  <c:v>45  -  49</c:v>
                </c:pt>
                <c:pt idx="10">
                  <c:v>50  -  54</c:v>
                </c:pt>
                <c:pt idx="11">
                  <c:v>55  -  59</c:v>
                </c:pt>
                <c:pt idx="12">
                  <c:v>60  -  64</c:v>
                </c:pt>
                <c:pt idx="13">
                  <c:v>65  -  69</c:v>
                </c:pt>
                <c:pt idx="14">
                  <c:v>70  -  74</c:v>
                </c:pt>
                <c:pt idx="15">
                  <c:v>75 فأكثر</c:v>
                </c:pt>
              </c:strCache>
            </c:strRef>
          </c:cat>
          <c:val>
            <c:numRef>
              <c:f>Feuil2!$S$8:$S$23</c:f>
              <c:numCache>
                <c:formatCode>0</c:formatCode>
                <c:ptCount val="16"/>
                <c:pt idx="0">
                  <c:v>3632.4360000000001</c:v>
                </c:pt>
                <c:pt idx="1">
                  <c:v>3041.7959999999998</c:v>
                </c:pt>
                <c:pt idx="2">
                  <c:v>2835.0720000000001</c:v>
                </c:pt>
                <c:pt idx="3">
                  <c:v>2392.0920000000001</c:v>
                </c:pt>
                <c:pt idx="4">
                  <c:v>2480.6879999999987</c:v>
                </c:pt>
                <c:pt idx="5">
                  <c:v>2451.1559999999999</c:v>
                </c:pt>
                <c:pt idx="6">
                  <c:v>2716.944</c:v>
                </c:pt>
                <c:pt idx="7">
                  <c:v>2510.2200000000003</c:v>
                </c:pt>
                <c:pt idx="8">
                  <c:v>2244.4320000000002</c:v>
                </c:pt>
                <c:pt idx="9">
                  <c:v>1683.3239999999998</c:v>
                </c:pt>
                <c:pt idx="10">
                  <c:v>1328.94</c:v>
                </c:pt>
                <c:pt idx="11">
                  <c:v>800</c:v>
                </c:pt>
                <c:pt idx="12">
                  <c:v>531.57599999999991</c:v>
                </c:pt>
                <c:pt idx="13">
                  <c:v>590.64</c:v>
                </c:pt>
                <c:pt idx="14">
                  <c:v>236.256</c:v>
                </c:pt>
                <c:pt idx="15">
                  <c:v>354.38400000000001</c:v>
                </c:pt>
              </c:numCache>
            </c:numRef>
          </c:val>
          <c:extLst xmlns:c16r2="http://schemas.microsoft.com/office/drawing/2015/06/chart">
            <c:ext xmlns:c16="http://schemas.microsoft.com/office/drawing/2014/chart" uri="{C3380CC4-5D6E-409C-BE32-E72D297353CC}">
              <c16:uniqueId val="{00000001-C5ED-4182-9B45-85920CDB2686}"/>
            </c:ext>
          </c:extLst>
        </c:ser>
        <c:gapWidth val="182"/>
        <c:axId val="74765824"/>
        <c:axId val="74767360"/>
      </c:barChart>
      <c:catAx>
        <c:axId val="7476582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fr-FR"/>
          </a:p>
        </c:txPr>
        <c:crossAx val="74767360"/>
        <c:crosses val="autoZero"/>
        <c:auto val="1"/>
        <c:lblAlgn val="ctr"/>
        <c:lblOffset val="100"/>
      </c:catAx>
      <c:valAx>
        <c:axId val="74767360"/>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74765824"/>
        <c:crosses val="autoZero"/>
        <c:crossBetween val="between"/>
      </c:valAx>
      <c:spPr>
        <a:noFill/>
        <a:ln>
          <a:noFill/>
        </a:ln>
        <a:effectLst/>
      </c:spPr>
    </c:plotArea>
    <c:legend>
      <c:legendPos val="b"/>
      <c:layout>
        <c:manualLayout>
          <c:xMode val="edge"/>
          <c:yMode val="edge"/>
          <c:x val="0.34863197223087111"/>
          <c:y val="0.88470202565405132"/>
          <c:w val="0.29685629660837448"/>
          <c:h val="8.5056038862077812E-2"/>
        </c:manualLayout>
      </c:layout>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fr-F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513</Words>
  <Characters>2823</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commune syz</dc:creator>
  <cp:keywords/>
  <dc:description/>
  <cp:lastModifiedBy>commune syz</cp:lastModifiedBy>
  <cp:revision>4</cp:revision>
  <dcterms:created xsi:type="dcterms:W3CDTF">2022-12-28T11:42:00Z</dcterms:created>
  <dcterms:modified xsi:type="dcterms:W3CDTF">2022-12-28T11:45:00Z</dcterms:modified>
</cp:coreProperties>
</file>